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E3" w:rsidRDefault="00150FE3" w:rsidP="00150FE3">
      <w:pPr>
        <w:pStyle w:val="Heading1"/>
        <w:ind w:left="0"/>
      </w:pPr>
      <w:r>
        <w:t>Annex I: Unit-level environment template (REF5b)</w:t>
      </w:r>
    </w:p>
    <w:p w:rsidR="00150FE3" w:rsidRDefault="00150FE3" w:rsidP="00150FE3">
      <w:pPr>
        <w:pStyle w:val="ListParagraph"/>
        <w:numPr>
          <w:ilvl w:val="0"/>
          <w:numId w:val="1"/>
        </w:numPr>
        <w:tabs>
          <w:tab w:val="left" w:pos="426"/>
        </w:tabs>
        <w:spacing w:before="180" w:line="297" w:lineRule="auto"/>
        <w:ind w:left="0" w:right="-330" w:firstLine="0"/>
        <w:rPr>
          <w:sz w:val="21"/>
        </w:rPr>
      </w:pPr>
      <w:r>
        <w:rPr>
          <w:sz w:val="21"/>
        </w:rPr>
        <w:t>This annex provides the template for REF5b. The template for use in</w:t>
      </w:r>
      <w:r>
        <w:rPr>
          <w:sz w:val="21"/>
        </w:rPr>
        <w:t xml:space="preserve"> </w:t>
      </w:r>
      <w:r>
        <w:rPr>
          <w:sz w:val="21"/>
        </w:rPr>
        <w:t xml:space="preserve">preparing submissions will be provided in Word, along with templates for </w:t>
      </w:r>
      <w:proofErr w:type="gramStart"/>
      <w:r>
        <w:rPr>
          <w:sz w:val="21"/>
        </w:rPr>
        <w:t xml:space="preserve">REF3 </w:t>
      </w:r>
      <w:r>
        <w:rPr>
          <w:sz w:val="21"/>
        </w:rPr>
        <w:t xml:space="preserve"> </w:t>
      </w:r>
      <w:r>
        <w:rPr>
          <w:sz w:val="21"/>
        </w:rPr>
        <w:t>and</w:t>
      </w:r>
      <w:proofErr w:type="gramEnd"/>
      <w:r>
        <w:rPr>
          <w:sz w:val="21"/>
        </w:rPr>
        <w:t xml:space="preserve"> REF5a, on the REF submission</w:t>
      </w:r>
      <w:r>
        <w:rPr>
          <w:spacing w:val="-2"/>
          <w:sz w:val="21"/>
        </w:rPr>
        <w:t xml:space="preserve"> </w:t>
      </w:r>
      <w:r>
        <w:rPr>
          <w:sz w:val="21"/>
        </w:rPr>
        <w:t>system.</w:t>
      </w:r>
    </w:p>
    <w:p w:rsidR="00150FE3" w:rsidRDefault="00150FE3" w:rsidP="00150FE3">
      <w:pPr>
        <w:pStyle w:val="BodyText"/>
        <w:tabs>
          <w:tab w:val="left" w:pos="426"/>
        </w:tabs>
        <w:ind w:right="-330"/>
      </w:pPr>
    </w:p>
    <w:p w:rsidR="00150FE3" w:rsidRDefault="00150FE3" w:rsidP="00150FE3">
      <w:pPr>
        <w:pStyle w:val="ListParagraph"/>
        <w:numPr>
          <w:ilvl w:val="0"/>
          <w:numId w:val="1"/>
        </w:numPr>
        <w:tabs>
          <w:tab w:val="left" w:pos="426"/>
        </w:tabs>
        <w:spacing w:line="297" w:lineRule="auto"/>
        <w:ind w:left="0" w:right="-330" w:firstLine="0"/>
        <w:rPr>
          <w:sz w:val="21"/>
        </w:rPr>
      </w:pPr>
      <w:r>
        <w:rPr>
          <w:sz w:val="21"/>
        </w:rPr>
        <w:t>Guidance on completing the template is available in Part 3, Section 5 of the main document, and in Part 3, Section 4 of the ‘Panel</w:t>
      </w:r>
      <w:r>
        <w:rPr>
          <w:spacing w:val="-11"/>
          <w:sz w:val="21"/>
        </w:rPr>
        <w:t xml:space="preserve"> </w:t>
      </w:r>
      <w:r>
        <w:rPr>
          <w:sz w:val="21"/>
        </w:rPr>
        <w:t>criteria’.</w:t>
      </w:r>
    </w:p>
    <w:p w:rsidR="00150FE3" w:rsidRDefault="00150FE3" w:rsidP="00150FE3">
      <w:pPr>
        <w:pStyle w:val="BodyText"/>
        <w:tabs>
          <w:tab w:val="left" w:pos="426"/>
        </w:tabs>
        <w:spacing w:before="11"/>
        <w:ind w:right="-330"/>
        <w:rPr>
          <w:sz w:val="20"/>
        </w:rPr>
      </w:pPr>
    </w:p>
    <w:p w:rsidR="00150FE3" w:rsidRDefault="00150FE3" w:rsidP="00150FE3">
      <w:pPr>
        <w:pStyle w:val="ListParagraph"/>
        <w:numPr>
          <w:ilvl w:val="0"/>
          <w:numId w:val="1"/>
        </w:numPr>
        <w:tabs>
          <w:tab w:val="left" w:pos="426"/>
        </w:tabs>
        <w:spacing w:line="297" w:lineRule="auto"/>
        <w:ind w:left="0" w:right="-330" w:firstLine="0"/>
        <w:rPr>
          <w:sz w:val="21"/>
        </w:rPr>
      </w:pPr>
      <w:r>
        <w:rPr>
          <w:sz w:val="21"/>
        </w:rPr>
        <w:t>In providing evidence in the REF5b template, institutions should draw on supporting quantitative indicators where applicable. In identifying additional indicators for inclusion, submitting units are strongly advised to refer to the advice and examples based on work carried out by the Forum for Responsible Research Metrics, available at</w:t>
      </w:r>
      <w:hyperlink r:id="rId5">
        <w:r>
          <w:rPr>
            <w:color w:val="0000FF"/>
            <w:sz w:val="21"/>
            <w:u w:val="single" w:color="0000FF"/>
          </w:rPr>
          <w:t xml:space="preserve"> www.ref.ac.uk</w:t>
        </w:r>
      </w:hyperlink>
      <w:r>
        <w:rPr>
          <w:sz w:val="21"/>
        </w:rPr>
        <w:t>, under Guidance. Further guidance is provided in Part 3, Section 4 of the ‘Panel</w:t>
      </w:r>
      <w:r>
        <w:rPr>
          <w:spacing w:val="-1"/>
          <w:sz w:val="21"/>
        </w:rPr>
        <w:t xml:space="preserve"> </w:t>
      </w:r>
      <w:r>
        <w:rPr>
          <w:sz w:val="21"/>
        </w:rPr>
        <w:t>criteria’.</w:t>
      </w:r>
    </w:p>
    <w:p w:rsidR="00150FE3" w:rsidRDefault="00150FE3" w:rsidP="00150FE3">
      <w:pPr>
        <w:pStyle w:val="BodyText"/>
        <w:tabs>
          <w:tab w:val="left" w:pos="426"/>
        </w:tabs>
        <w:spacing w:before="2"/>
        <w:ind w:right="-330"/>
      </w:pPr>
    </w:p>
    <w:p w:rsidR="00150FE3" w:rsidRDefault="00150FE3" w:rsidP="00150FE3">
      <w:pPr>
        <w:pStyle w:val="ListParagraph"/>
        <w:numPr>
          <w:ilvl w:val="0"/>
          <w:numId w:val="1"/>
        </w:numPr>
        <w:tabs>
          <w:tab w:val="left" w:pos="426"/>
        </w:tabs>
        <w:spacing w:line="297" w:lineRule="auto"/>
        <w:ind w:left="0" w:right="-330" w:firstLine="0"/>
        <w:rPr>
          <w:sz w:val="21"/>
        </w:rPr>
      </w:pPr>
      <w:r>
        <w:rPr>
          <w:sz w:val="21"/>
        </w:rPr>
        <w:t>Each completed template must be submitted according to the</w:t>
      </w:r>
      <w:r>
        <w:rPr>
          <w:sz w:val="21"/>
        </w:rPr>
        <w:t xml:space="preserve"> </w:t>
      </w:r>
      <w:r>
        <w:rPr>
          <w:sz w:val="21"/>
        </w:rPr>
        <w:t>guidance on formatting and word limits set out at Annex F of this</w:t>
      </w:r>
      <w:r>
        <w:rPr>
          <w:spacing w:val="-17"/>
          <w:sz w:val="21"/>
        </w:rPr>
        <w:t xml:space="preserve"> </w:t>
      </w:r>
      <w:r>
        <w:rPr>
          <w:sz w:val="21"/>
        </w:rPr>
        <w:t>document.</w:t>
      </w:r>
    </w:p>
    <w:p w:rsidR="00150FE3" w:rsidRDefault="00150FE3" w:rsidP="00150FE3">
      <w:pPr>
        <w:pStyle w:val="Heading3"/>
        <w:spacing w:before="209"/>
        <w:ind w:left="0"/>
      </w:pPr>
      <w:r>
        <w:t>Unit-level environment template (REF5b)</w:t>
      </w:r>
    </w:p>
    <w:p w:rsidR="00150FE3" w:rsidRDefault="00150FE3" w:rsidP="00150FE3">
      <w:pPr>
        <w:pStyle w:val="BodyText"/>
        <w:spacing w:before="6" w:after="1"/>
        <w:rPr>
          <w:b/>
          <w:sz w:val="10"/>
        </w:rPr>
      </w:pPr>
    </w:p>
    <w:tbl>
      <w:tblPr>
        <w:tblW w:w="94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5"/>
      </w:tblGrid>
      <w:tr w:rsidR="00150FE3" w:rsidTr="00150FE3">
        <w:trPr>
          <w:trHeight w:val="546"/>
        </w:trPr>
        <w:tc>
          <w:tcPr>
            <w:tcW w:w="9465" w:type="dxa"/>
          </w:tcPr>
          <w:p w:rsidR="00150FE3" w:rsidRDefault="00150FE3" w:rsidP="00150FE3">
            <w:pPr>
              <w:pStyle w:val="TableParagraph"/>
              <w:spacing w:before="55"/>
              <w:ind w:left="277"/>
              <w:rPr>
                <w:b/>
                <w:sz w:val="21"/>
              </w:rPr>
            </w:pPr>
            <w:r>
              <w:rPr>
                <w:b/>
                <w:sz w:val="21"/>
              </w:rPr>
              <w:t>Institution:</w:t>
            </w:r>
          </w:p>
        </w:tc>
      </w:tr>
      <w:tr w:rsidR="00150FE3" w:rsidTr="00150FE3">
        <w:trPr>
          <w:trHeight w:val="554"/>
        </w:trPr>
        <w:tc>
          <w:tcPr>
            <w:tcW w:w="9465" w:type="dxa"/>
          </w:tcPr>
          <w:p w:rsidR="00150FE3" w:rsidRDefault="00150FE3" w:rsidP="00150FE3">
            <w:pPr>
              <w:pStyle w:val="TableParagraph"/>
              <w:spacing w:before="55"/>
              <w:ind w:left="277"/>
              <w:rPr>
                <w:b/>
                <w:sz w:val="21"/>
              </w:rPr>
            </w:pPr>
            <w:r>
              <w:rPr>
                <w:b/>
                <w:sz w:val="21"/>
              </w:rPr>
              <w:t>Unit of assessment:</w:t>
            </w:r>
          </w:p>
        </w:tc>
      </w:tr>
      <w:tr w:rsidR="00150FE3" w:rsidTr="00150FE3">
        <w:trPr>
          <w:trHeight w:val="1500"/>
        </w:trPr>
        <w:tc>
          <w:tcPr>
            <w:tcW w:w="9465" w:type="dxa"/>
          </w:tcPr>
          <w:p w:rsidR="00150FE3" w:rsidRDefault="00150FE3" w:rsidP="00150FE3">
            <w:pPr>
              <w:pStyle w:val="TableParagraph"/>
              <w:spacing w:before="55"/>
              <w:ind w:left="277"/>
              <w:rPr>
                <w:b/>
                <w:sz w:val="21"/>
              </w:rPr>
            </w:pPr>
            <w:bookmarkStart w:id="0" w:name="_GoBack"/>
            <w:r>
              <w:rPr>
                <w:b/>
                <w:sz w:val="21"/>
              </w:rPr>
              <w:t>Section 1. Unit context and structure, research and impact strategy</w:t>
            </w:r>
          </w:p>
          <w:p w:rsidR="00150FE3" w:rsidRDefault="00150FE3" w:rsidP="00150FE3">
            <w:pPr>
              <w:pStyle w:val="TableParagraph"/>
              <w:spacing w:line="300" w:lineRule="atLeast"/>
              <w:ind w:left="277" w:right="328"/>
              <w:rPr>
                <w:sz w:val="21"/>
              </w:rPr>
            </w:pPr>
            <w:r>
              <w:rPr>
                <w:sz w:val="21"/>
              </w:rPr>
              <w:t>This section should provide evidence of the submitted unit’s achievement of strategic aims for research and impact during the assessment period, and details of future strategic aims and goals for research and impact; how these relate to the structure of the unit; and how they will be taken forward.</w:t>
            </w:r>
          </w:p>
          <w:p w:rsidR="00150FE3" w:rsidRDefault="00150FE3" w:rsidP="00150FE3">
            <w:pPr>
              <w:pStyle w:val="TableParagraph"/>
              <w:spacing w:line="300" w:lineRule="atLeast"/>
              <w:ind w:left="277" w:right="328"/>
              <w:rPr>
                <w:sz w:val="21"/>
              </w:rPr>
            </w:pPr>
          </w:p>
        </w:tc>
      </w:tr>
      <w:bookmarkEnd w:id="0"/>
      <w:tr w:rsidR="00150FE3" w:rsidTr="00150FE3">
        <w:trPr>
          <w:trHeight w:val="1516"/>
        </w:trPr>
        <w:tc>
          <w:tcPr>
            <w:tcW w:w="9465" w:type="dxa"/>
          </w:tcPr>
          <w:p w:rsidR="00150FE3" w:rsidRDefault="00150FE3" w:rsidP="00150FE3">
            <w:pPr>
              <w:pStyle w:val="TableParagraph"/>
              <w:spacing w:before="55"/>
              <w:ind w:left="277"/>
              <w:rPr>
                <w:b/>
                <w:sz w:val="21"/>
              </w:rPr>
            </w:pPr>
            <w:r>
              <w:rPr>
                <w:b/>
                <w:sz w:val="21"/>
              </w:rPr>
              <w:t>Section 2. People</w:t>
            </w:r>
          </w:p>
          <w:p w:rsidR="00150FE3" w:rsidRDefault="00150FE3" w:rsidP="00150FE3">
            <w:pPr>
              <w:pStyle w:val="TableParagraph"/>
              <w:spacing w:before="58" w:line="297" w:lineRule="auto"/>
              <w:ind w:left="277" w:right="444"/>
              <w:rPr>
                <w:sz w:val="21"/>
              </w:rPr>
            </w:pPr>
            <w:r>
              <w:rPr>
                <w:sz w:val="21"/>
              </w:rPr>
              <w:t>This section should provide evidence about staffing strategy and staff development within the submitted unit; support mechanisms for, and evidence of the training and supervision of, PGR students; and evidence of how the submitting unit supports and promotes equality and diversity.</w:t>
            </w:r>
          </w:p>
          <w:p w:rsidR="00150FE3" w:rsidRDefault="00150FE3" w:rsidP="00150FE3">
            <w:pPr>
              <w:pStyle w:val="TableParagraph"/>
              <w:spacing w:before="58" w:line="297" w:lineRule="auto"/>
              <w:ind w:left="277" w:right="444"/>
              <w:rPr>
                <w:sz w:val="21"/>
              </w:rPr>
            </w:pPr>
          </w:p>
        </w:tc>
      </w:tr>
      <w:tr w:rsidR="00150FE3" w:rsidTr="00150FE3">
        <w:trPr>
          <w:trHeight w:val="1272"/>
        </w:trPr>
        <w:tc>
          <w:tcPr>
            <w:tcW w:w="9465" w:type="dxa"/>
          </w:tcPr>
          <w:p w:rsidR="00150FE3" w:rsidRDefault="00150FE3" w:rsidP="00150FE3">
            <w:pPr>
              <w:pStyle w:val="TableParagraph"/>
              <w:spacing w:before="55"/>
              <w:ind w:left="277"/>
              <w:rPr>
                <w:b/>
                <w:sz w:val="21"/>
              </w:rPr>
            </w:pPr>
            <w:r>
              <w:rPr>
                <w:b/>
                <w:sz w:val="21"/>
              </w:rPr>
              <w:t>Section 3. Income, infrastructure and facilities</w:t>
            </w:r>
          </w:p>
          <w:p w:rsidR="00150FE3" w:rsidRDefault="00150FE3" w:rsidP="00150FE3">
            <w:pPr>
              <w:pStyle w:val="TableParagraph"/>
              <w:spacing w:before="58" w:line="297" w:lineRule="auto"/>
              <w:ind w:left="277" w:right="748"/>
              <w:rPr>
                <w:sz w:val="21"/>
              </w:rPr>
            </w:pPr>
            <w:r>
              <w:rPr>
                <w:sz w:val="21"/>
              </w:rPr>
              <w:t>This section should provide information about the submitted unit’s income, infrastructure and facilities pertaining to research and research impact.</w:t>
            </w:r>
          </w:p>
        </w:tc>
      </w:tr>
      <w:tr w:rsidR="00150FE3" w:rsidTr="00150FE3">
        <w:trPr>
          <w:trHeight w:val="1814"/>
        </w:trPr>
        <w:tc>
          <w:tcPr>
            <w:tcW w:w="9465" w:type="dxa"/>
          </w:tcPr>
          <w:p w:rsidR="00150FE3" w:rsidRDefault="00150FE3" w:rsidP="00150FE3">
            <w:pPr>
              <w:pStyle w:val="TableParagraph"/>
              <w:spacing w:before="55" w:line="297" w:lineRule="auto"/>
              <w:ind w:left="277" w:right="856"/>
              <w:rPr>
                <w:sz w:val="21"/>
              </w:rPr>
            </w:pPr>
            <w:r>
              <w:rPr>
                <w:b/>
                <w:sz w:val="21"/>
              </w:rPr>
              <w:t xml:space="preserve">Section 4. Collaboration and contribution to the research base, economy and society </w:t>
            </w:r>
            <w:r>
              <w:rPr>
                <w:sz w:val="21"/>
              </w:rPr>
              <w:t>This section should provide information about the submitted unit’s research collaborations, networks and partnerships, including relationships with key research users, beneficiaries or</w:t>
            </w:r>
            <w:r>
              <w:rPr>
                <w:sz w:val="21"/>
              </w:rPr>
              <w:t xml:space="preserve"> </w:t>
            </w:r>
            <w:r>
              <w:rPr>
                <w:sz w:val="21"/>
              </w:rPr>
              <w:t>audiences; and the wider activities and contributions to the research base, economy and society.</w:t>
            </w:r>
          </w:p>
        </w:tc>
      </w:tr>
    </w:tbl>
    <w:p w:rsidR="001A3B53" w:rsidRDefault="001A3B53" w:rsidP="00150FE3"/>
    <w:sectPr w:rsidR="001A3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B05B4"/>
    <w:multiLevelType w:val="hybridMultilevel"/>
    <w:tmpl w:val="FE081EC0"/>
    <w:lvl w:ilvl="0" w:tplc="2F2AC17A">
      <w:start w:val="1"/>
      <w:numFmt w:val="decimal"/>
      <w:lvlText w:val="%1."/>
      <w:lvlJc w:val="left"/>
      <w:pPr>
        <w:ind w:left="825" w:hanging="567"/>
        <w:jc w:val="left"/>
      </w:pPr>
      <w:rPr>
        <w:rFonts w:ascii="Arial" w:eastAsia="Arial" w:hAnsi="Arial" w:cs="Arial" w:hint="default"/>
        <w:w w:val="100"/>
        <w:sz w:val="21"/>
        <w:szCs w:val="21"/>
      </w:rPr>
    </w:lvl>
    <w:lvl w:ilvl="1" w:tplc="19DEA47E">
      <w:numFmt w:val="bullet"/>
      <w:lvlText w:val="•"/>
      <w:lvlJc w:val="left"/>
      <w:pPr>
        <w:ind w:left="1778" w:hanging="567"/>
      </w:pPr>
      <w:rPr>
        <w:rFonts w:hint="default"/>
      </w:rPr>
    </w:lvl>
    <w:lvl w:ilvl="2" w:tplc="0504EA94">
      <w:numFmt w:val="bullet"/>
      <w:lvlText w:val="•"/>
      <w:lvlJc w:val="left"/>
      <w:pPr>
        <w:ind w:left="2737" w:hanging="567"/>
      </w:pPr>
      <w:rPr>
        <w:rFonts w:hint="default"/>
      </w:rPr>
    </w:lvl>
    <w:lvl w:ilvl="3" w:tplc="CCBE20E4">
      <w:numFmt w:val="bullet"/>
      <w:lvlText w:val="•"/>
      <w:lvlJc w:val="left"/>
      <w:pPr>
        <w:ind w:left="3695" w:hanging="567"/>
      </w:pPr>
      <w:rPr>
        <w:rFonts w:hint="default"/>
      </w:rPr>
    </w:lvl>
    <w:lvl w:ilvl="4" w:tplc="304402A4">
      <w:numFmt w:val="bullet"/>
      <w:lvlText w:val="•"/>
      <w:lvlJc w:val="left"/>
      <w:pPr>
        <w:ind w:left="4654" w:hanging="567"/>
      </w:pPr>
      <w:rPr>
        <w:rFonts w:hint="default"/>
      </w:rPr>
    </w:lvl>
    <w:lvl w:ilvl="5" w:tplc="A5E6EDEC">
      <w:numFmt w:val="bullet"/>
      <w:lvlText w:val="•"/>
      <w:lvlJc w:val="left"/>
      <w:pPr>
        <w:ind w:left="5613" w:hanging="567"/>
      </w:pPr>
      <w:rPr>
        <w:rFonts w:hint="default"/>
      </w:rPr>
    </w:lvl>
    <w:lvl w:ilvl="6" w:tplc="1408F11A">
      <w:numFmt w:val="bullet"/>
      <w:lvlText w:val="•"/>
      <w:lvlJc w:val="left"/>
      <w:pPr>
        <w:ind w:left="6571" w:hanging="567"/>
      </w:pPr>
      <w:rPr>
        <w:rFonts w:hint="default"/>
      </w:rPr>
    </w:lvl>
    <w:lvl w:ilvl="7" w:tplc="14A69FE4">
      <w:numFmt w:val="bullet"/>
      <w:lvlText w:val="•"/>
      <w:lvlJc w:val="left"/>
      <w:pPr>
        <w:ind w:left="7530" w:hanging="567"/>
      </w:pPr>
      <w:rPr>
        <w:rFonts w:hint="default"/>
      </w:rPr>
    </w:lvl>
    <w:lvl w:ilvl="8" w:tplc="9CFE366E">
      <w:numFmt w:val="bullet"/>
      <w:lvlText w:val="•"/>
      <w:lvlJc w:val="left"/>
      <w:pPr>
        <w:ind w:left="8489"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E3"/>
    <w:rsid w:val="00150FE3"/>
    <w:rsid w:val="001A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BC71"/>
  <w15:chartTrackingRefBased/>
  <w15:docId w15:val="{74E7F671-D41B-46A8-9784-84735937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0FE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150FE3"/>
    <w:pPr>
      <w:spacing w:before="98"/>
      <w:ind w:left="825"/>
      <w:outlineLvl w:val="0"/>
    </w:pPr>
    <w:rPr>
      <w:b/>
      <w:bCs/>
      <w:sz w:val="32"/>
      <w:szCs w:val="32"/>
    </w:rPr>
  </w:style>
  <w:style w:type="paragraph" w:styleId="Heading3">
    <w:name w:val="heading 3"/>
    <w:basedOn w:val="Normal"/>
    <w:link w:val="Heading3Char"/>
    <w:uiPriority w:val="1"/>
    <w:qFormat/>
    <w:rsid w:val="00150FE3"/>
    <w:pPr>
      <w:ind w:left="82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0FE3"/>
    <w:rPr>
      <w:rFonts w:ascii="Arial" w:eastAsia="Arial" w:hAnsi="Arial" w:cs="Arial"/>
      <w:b/>
      <w:bCs/>
      <w:sz w:val="32"/>
      <w:szCs w:val="32"/>
      <w:lang w:val="en-US"/>
    </w:rPr>
  </w:style>
  <w:style w:type="character" w:customStyle="1" w:styleId="Heading3Char">
    <w:name w:val="Heading 3 Char"/>
    <w:basedOn w:val="DefaultParagraphFont"/>
    <w:link w:val="Heading3"/>
    <w:uiPriority w:val="1"/>
    <w:rsid w:val="00150FE3"/>
    <w:rPr>
      <w:rFonts w:ascii="Arial" w:eastAsia="Arial" w:hAnsi="Arial" w:cs="Arial"/>
      <w:b/>
      <w:bCs/>
      <w:sz w:val="24"/>
      <w:szCs w:val="24"/>
      <w:lang w:val="en-US"/>
    </w:rPr>
  </w:style>
  <w:style w:type="paragraph" w:styleId="BodyText">
    <w:name w:val="Body Text"/>
    <w:basedOn w:val="Normal"/>
    <w:link w:val="BodyTextChar"/>
    <w:uiPriority w:val="1"/>
    <w:qFormat/>
    <w:rsid w:val="00150FE3"/>
    <w:rPr>
      <w:sz w:val="21"/>
      <w:szCs w:val="21"/>
    </w:rPr>
  </w:style>
  <w:style w:type="character" w:customStyle="1" w:styleId="BodyTextChar">
    <w:name w:val="Body Text Char"/>
    <w:basedOn w:val="DefaultParagraphFont"/>
    <w:link w:val="BodyText"/>
    <w:uiPriority w:val="1"/>
    <w:rsid w:val="00150FE3"/>
    <w:rPr>
      <w:rFonts w:ascii="Arial" w:eastAsia="Arial" w:hAnsi="Arial" w:cs="Arial"/>
      <w:sz w:val="21"/>
      <w:szCs w:val="21"/>
      <w:lang w:val="en-US"/>
    </w:rPr>
  </w:style>
  <w:style w:type="paragraph" w:styleId="ListParagraph">
    <w:name w:val="List Paragraph"/>
    <w:basedOn w:val="Normal"/>
    <w:uiPriority w:val="1"/>
    <w:qFormat/>
    <w:rsid w:val="00150FE3"/>
    <w:pPr>
      <w:ind w:left="825"/>
    </w:pPr>
  </w:style>
  <w:style w:type="paragraph" w:customStyle="1" w:styleId="TableParagraph">
    <w:name w:val="Table Paragraph"/>
    <w:basedOn w:val="Normal"/>
    <w:uiPriority w:val="1"/>
    <w:qFormat/>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f.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Christopher</dc:creator>
  <cp:keywords/>
  <dc:description/>
  <cp:lastModifiedBy>Adams, Christopher</cp:lastModifiedBy>
  <cp:revision>1</cp:revision>
  <dcterms:created xsi:type="dcterms:W3CDTF">2018-09-25T16:19:00Z</dcterms:created>
  <dcterms:modified xsi:type="dcterms:W3CDTF">2018-09-25T16:22:00Z</dcterms:modified>
</cp:coreProperties>
</file>