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0FFA" w:rsidP="000E0FFA" w:rsidRDefault="000E0FFA" w14:paraId="66D38D7D" w14:textId="40B9E9A0">
      <w:pPr>
        <w:pStyle w:val="Heading1"/>
        <w:rPr>
          <w:rFonts w:eastAsia="Times New Roman"/>
          <w:lang w:eastAsia="en-GB"/>
        </w:rPr>
      </w:pPr>
      <w:r>
        <w:rPr>
          <w:rFonts w:eastAsia="Times New Roman"/>
          <w:lang w:eastAsia="en-GB"/>
        </w:rPr>
        <w:t xml:space="preserve">Research and Enterprise </w:t>
      </w:r>
      <w:r w:rsidRPr="003736E9">
        <w:rPr>
          <w:rFonts w:eastAsia="Times New Roman"/>
          <w:lang w:eastAsia="en-GB"/>
        </w:rPr>
        <w:t xml:space="preserve">Due Diligence </w:t>
      </w:r>
      <w:r>
        <w:rPr>
          <w:rFonts w:eastAsia="Times New Roman"/>
          <w:lang w:eastAsia="en-GB"/>
        </w:rPr>
        <w:t xml:space="preserve">Process </w:t>
      </w:r>
    </w:p>
    <w:p w:rsidR="00A75D98" w:rsidP="00A75D98" w:rsidRDefault="00A75D98" w14:paraId="0425E7CE" w14:textId="347D8C24">
      <w:pPr>
        <w:pStyle w:val="Heading2"/>
        <w:rPr>
          <w:lang w:eastAsia="en-GB"/>
        </w:rPr>
      </w:pPr>
      <w:r>
        <w:rPr>
          <w:lang w:eastAsia="en-GB"/>
        </w:rPr>
        <w:t>1. Introduction</w:t>
      </w:r>
    </w:p>
    <w:p w:rsidRPr="00A75D98" w:rsidR="00A75D98" w:rsidP="00A75D98" w:rsidRDefault="00A75D98" w14:paraId="0287ACD0" w14:textId="00B754B8">
      <w:pPr>
        <w:spacing w:before="100" w:beforeAutospacing="1" w:after="100" w:afterAutospacing="1"/>
        <w:rPr>
          <w:rFonts w:eastAsia="Times New Roman" w:cstheme="minorHAnsi"/>
          <w:lang w:eastAsia="en-GB"/>
        </w:rPr>
      </w:pPr>
      <w:r>
        <w:rPr>
          <w:rFonts w:eastAsia="Times New Roman" w:cstheme="minorHAnsi"/>
          <w:lang w:eastAsia="en-GB"/>
        </w:rPr>
        <w:t xml:space="preserve">1.1 </w:t>
      </w:r>
      <w:r w:rsidRPr="00A75D98" w:rsidR="000E0FFA">
        <w:rPr>
          <w:rFonts w:eastAsia="Times New Roman" w:cstheme="minorHAnsi"/>
          <w:lang w:eastAsia="en-GB"/>
        </w:rPr>
        <w:t xml:space="preserve">Lancaster University values our collaborative partnerships for research, enterprise and engagement highly and these enrich our teaching and research. There is increasing emphasis on </w:t>
      </w:r>
      <w:hyperlink w:history="1" r:id="rId8">
        <w:r w:rsidRPr="00A75D98" w:rsidR="000E0FFA">
          <w:rPr>
            <w:rStyle w:val="Hyperlink"/>
            <w:rFonts w:eastAsia="Times New Roman" w:cstheme="minorHAnsi"/>
            <w:lang w:eastAsia="en-GB"/>
          </w:rPr>
          <w:t xml:space="preserve">Trusted Research </w:t>
        </w:r>
      </w:hyperlink>
      <w:r w:rsidRPr="00A75D98" w:rsidR="000E0FFA">
        <w:rPr>
          <w:rFonts w:eastAsia="Times New Roman" w:cstheme="minorHAnsi"/>
          <w:lang w:eastAsia="en-GB"/>
        </w:rPr>
        <w:t xml:space="preserve"> a</w:t>
      </w:r>
      <w:r w:rsidR="000F19FB">
        <w:rPr>
          <w:rFonts w:eastAsia="Times New Roman" w:cstheme="minorHAnsi"/>
          <w:lang w:eastAsia="en-GB"/>
        </w:rPr>
        <w:t>nd Innovation a</w:t>
      </w:r>
      <w:r w:rsidRPr="00A75D98" w:rsidR="000E0FFA">
        <w:rPr>
          <w:rFonts w:eastAsia="Times New Roman" w:cstheme="minorHAnsi"/>
          <w:lang w:eastAsia="en-GB"/>
        </w:rPr>
        <w:t>nd requirements of UKRI and other funders to have policies and processes in place that enable appropriate and proportionate risk-based due diligence. As a research organisation, we need to understand who we are partnering with and assess any associated financial, reputational and operational risks involved, particularly when partnering with overseas organisations.</w:t>
      </w:r>
    </w:p>
    <w:p w:rsidRPr="00A75D98" w:rsidR="000E0FFA" w:rsidP="00A75D98" w:rsidRDefault="00A75D98" w14:paraId="47CB71C9" w14:textId="355857B9">
      <w:pPr>
        <w:spacing w:before="100" w:beforeAutospacing="1" w:after="100" w:afterAutospacing="1"/>
        <w:rPr>
          <w:rFonts w:eastAsia="Times New Roman" w:cstheme="minorHAnsi"/>
          <w:lang w:eastAsia="en-GB"/>
        </w:rPr>
      </w:pPr>
      <w:r>
        <w:rPr>
          <w:rFonts w:eastAsia="Times New Roman" w:cstheme="minorHAnsi"/>
          <w:lang w:eastAsia="en-GB"/>
        </w:rPr>
        <w:t xml:space="preserve">1.2 </w:t>
      </w:r>
      <w:r w:rsidRPr="00A75D98" w:rsidR="000E0FFA">
        <w:rPr>
          <w:rFonts w:eastAsia="Times New Roman" w:cstheme="minorHAnsi"/>
          <w:lang w:eastAsia="en-GB"/>
        </w:rPr>
        <w:t>Lancaster University is required to evidence our assessment processes as part of the UKRI funding assurance programme. The risk relating to funding going to some jurisdictions overseas is greater than funding going to UK Research Organisations, as not all jurisdictions are subject to equivalent audit checks. Our due diligence process is a way to mitigate these potential risks, and assure both ourselves and our UK based funders that partner organisations overseas have the capacity, probity and expertise to carry out the activities requested of them.</w:t>
      </w:r>
    </w:p>
    <w:p w:rsidRPr="00A75D98" w:rsidR="000E0FFA" w:rsidP="00A75D98" w:rsidRDefault="00A75D98" w14:paraId="62D918F7" w14:textId="0B7E1F00">
      <w:pPr>
        <w:spacing w:before="100" w:beforeAutospacing="1" w:after="100" w:afterAutospacing="1"/>
        <w:rPr>
          <w:rFonts w:eastAsia="Times New Roman" w:cstheme="minorHAnsi"/>
          <w:lang w:eastAsia="en-GB"/>
        </w:rPr>
      </w:pPr>
      <w:r>
        <w:rPr>
          <w:rFonts w:eastAsia="Times New Roman" w:cstheme="minorHAnsi"/>
          <w:lang w:eastAsia="en-GB"/>
        </w:rPr>
        <w:t xml:space="preserve">1.3 </w:t>
      </w:r>
      <w:r w:rsidRPr="00A75D98" w:rsidR="000E0FFA">
        <w:rPr>
          <w:rFonts w:eastAsia="Times New Roman" w:cstheme="minorHAnsi"/>
          <w:lang w:eastAsia="en-GB"/>
        </w:rPr>
        <w:t xml:space="preserve">All international funders, collaborators and subcontractors are assessed </w:t>
      </w:r>
      <w:r w:rsidRPr="00A75D98" w:rsidR="000E0FFA">
        <w:rPr>
          <w:rFonts w:eastAsia="Times New Roman" w:cstheme="minorHAnsi"/>
          <w:color w:val="1D1D1D"/>
          <w:lang w:eastAsia="en-GB"/>
        </w:rPr>
        <w:t>through a series of checks to identify and manage risk in the categories below before an activity is approved to proceed</w:t>
      </w:r>
      <w:r w:rsidRPr="00A75D98" w:rsidR="000E0FFA">
        <w:rPr>
          <w:rFonts w:eastAsia="Times New Roman" w:cstheme="minorHAnsi"/>
          <w:lang w:eastAsia="en-GB"/>
        </w:rPr>
        <w:t xml:space="preserve">:  </w:t>
      </w:r>
    </w:p>
    <w:p w:rsidRPr="00A75D98" w:rsidR="000E0FFA" w:rsidP="00A75D98" w:rsidRDefault="000E0FFA" w14:paraId="3D9F999E" w14:textId="77777777">
      <w:pPr>
        <w:pStyle w:val="ListParagraph"/>
        <w:numPr>
          <w:ilvl w:val="0"/>
          <w:numId w:val="20"/>
        </w:numPr>
        <w:spacing w:before="100" w:beforeAutospacing="1" w:after="100" w:afterAutospacing="1"/>
        <w:rPr>
          <w:rFonts w:eastAsia="Times New Roman" w:cstheme="minorHAnsi"/>
          <w:lang w:eastAsia="en-GB"/>
        </w:rPr>
      </w:pPr>
      <w:r w:rsidRPr="00A75D98">
        <w:rPr>
          <w:rFonts w:eastAsia="Times New Roman" w:cstheme="minorHAnsi"/>
          <w:lang w:eastAsia="en-GB"/>
        </w:rPr>
        <w:t>Grant/Funding amount</w:t>
      </w:r>
    </w:p>
    <w:p w:rsidRPr="00A75D98" w:rsidR="000E0FFA" w:rsidP="00A75D98" w:rsidRDefault="000E0FFA" w14:paraId="2ED50CBB" w14:textId="77777777">
      <w:pPr>
        <w:pStyle w:val="ListParagraph"/>
        <w:numPr>
          <w:ilvl w:val="0"/>
          <w:numId w:val="20"/>
        </w:numPr>
        <w:spacing w:before="100" w:beforeAutospacing="1" w:after="100" w:afterAutospacing="1"/>
        <w:rPr>
          <w:rFonts w:eastAsia="Times New Roman" w:cstheme="minorHAnsi"/>
          <w:lang w:eastAsia="en-GB"/>
        </w:rPr>
      </w:pPr>
      <w:r w:rsidRPr="00A75D98">
        <w:rPr>
          <w:rFonts w:eastAsia="Times New Roman" w:cstheme="minorHAnsi"/>
          <w:lang w:eastAsia="en-GB"/>
        </w:rPr>
        <w:t>Country risk rating/Business climate rating (globalEDGE)</w:t>
      </w:r>
    </w:p>
    <w:p w:rsidRPr="00A75D98" w:rsidR="000E0FFA" w:rsidP="00A75D98" w:rsidRDefault="000E0FFA" w14:paraId="3E561C9A" w14:textId="77777777">
      <w:pPr>
        <w:pStyle w:val="ListParagraph"/>
        <w:numPr>
          <w:ilvl w:val="0"/>
          <w:numId w:val="20"/>
        </w:numPr>
        <w:spacing w:before="100" w:beforeAutospacing="1" w:after="100" w:afterAutospacing="1"/>
        <w:rPr>
          <w:rFonts w:eastAsia="Times New Roman" w:cstheme="minorHAnsi"/>
          <w:lang w:eastAsia="en-GB"/>
        </w:rPr>
      </w:pPr>
      <w:r w:rsidRPr="00A75D98">
        <w:rPr>
          <w:rFonts w:eastAsia="Times New Roman" w:cstheme="minorHAnsi"/>
          <w:lang w:eastAsia="en-GB"/>
        </w:rPr>
        <w:t>Corruption index score</w:t>
      </w:r>
    </w:p>
    <w:p w:rsidR="000E0FFA" w:rsidP="00A75D98" w:rsidRDefault="000E0FFA" w14:paraId="08942268" w14:textId="1439D69C">
      <w:pPr>
        <w:pStyle w:val="ListParagraph"/>
        <w:numPr>
          <w:ilvl w:val="0"/>
          <w:numId w:val="20"/>
        </w:numPr>
        <w:spacing w:before="100" w:beforeAutospacing="1" w:after="100" w:afterAutospacing="1"/>
        <w:rPr>
          <w:rFonts w:eastAsia="Times New Roman" w:cstheme="minorHAnsi"/>
          <w:lang w:eastAsia="en-GB"/>
        </w:rPr>
      </w:pPr>
      <w:r w:rsidRPr="00A75D98">
        <w:rPr>
          <w:rFonts w:eastAsia="Times New Roman" w:cstheme="minorHAnsi"/>
          <w:lang w:eastAsia="en-GB"/>
        </w:rPr>
        <w:t>Organisation legal status</w:t>
      </w:r>
    </w:p>
    <w:p w:rsidRPr="00A75D98" w:rsidR="000F19FB" w:rsidP="00A75D98" w:rsidRDefault="000F19FB" w14:paraId="09EAE842" w14:textId="7DF42029">
      <w:pPr>
        <w:pStyle w:val="ListParagraph"/>
        <w:numPr>
          <w:ilvl w:val="0"/>
          <w:numId w:val="20"/>
        </w:numPr>
        <w:spacing w:before="100" w:beforeAutospacing="1" w:after="100" w:afterAutospacing="1"/>
        <w:rPr>
          <w:rFonts w:eastAsia="Times New Roman" w:cstheme="minorHAnsi"/>
          <w:lang w:eastAsia="en-GB"/>
        </w:rPr>
      </w:pPr>
      <w:r>
        <w:rPr>
          <w:rFonts w:eastAsia="Times New Roman" w:cstheme="minorHAnsi"/>
          <w:lang w:eastAsia="en-GB"/>
        </w:rPr>
        <w:t>Sanctions</w:t>
      </w:r>
    </w:p>
    <w:p w:rsidRPr="00A75D98" w:rsidR="000E0FFA" w:rsidP="00A75D98" w:rsidRDefault="000E0FFA" w14:paraId="35F896D2" w14:textId="77777777">
      <w:pPr>
        <w:pStyle w:val="ListParagraph"/>
        <w:numPr>
          <w:ilvl w:val="0"/>
          <w:numId w:val="20"/>
        </w:numPr>
        <w:spacing w:before="100" w:beforeAutospacing="1" w:after="100" w:afterAutospacing="1"/>
        <w:rPr>
          <w:rFonts w:eastAsia="Times New Roman" w:cstheme="minorHAnsi"/>
          <w:lang w:eastAsia="en-GB"/>
        </w:rPr>
      </w:pPr>
      <w:r w:rsidRPr="00A75D98">
        <w:rPr>
          <w:rFonts w:eastAsia="Times New Roman" w:cstheme="minorHAnsi"/>
          <w:lang w:eastAsia="en-GB"/>
        </w:rPr>
        <w:t>Contracting arrangements</w:t>
      </w:r>
    </w:p>
    <w:p w:rsidRPr="00A75D98" w:rsidR="000E0FFA" w:rsidP="00A75D98" w:rsidRDefault="000E0FFA" w14:paraId="1CBEC21E" w14:textId="77777777">
      <w:pPr>
        <w:pStyle w:val="ListParagraph"/>
        <w:numPr>
          <w:ilvl w:val="0"/>
          <w:numId w:val="20"/>
        </w:numPr>
        <w:spacing w:before="100" w:beforeAutospacing="1" w:after="100" w:afterAutospacing="1"/>
        <w:rPr>
          <w:rFonts w:eastAsia="Times New Roman" w:cstheme="minorHAnsi"/>
          <w:lang w:eastAsia="en-GB"/>
        </w:rPr>
      </w:pPr>
      <w:r w:rsidRPr="00A75D98">
        <w:rPr>
          <w:rFonts w:eastAsia="Times New Roman" w:cstheme="minorHAnsi"/>
          <w:lang w:eastAsia="en-GB"/>
        </w:rPr>
        <w:t xml:space="preserve">Reputational impact </w:t>
      </w:r>
    </w:p>
    <w:p w:rsidRPr="00C8383A" w:rsidR="000E0FFA" w:rsidP="00A75D98" w:rsidRDefault="000E0FFA" w14:paraId="5D29CBD8" w14:textId="77777777">
      <w:pPr>
        <w:pStyle w:val="ListParagraph"/>
        <w:numPr>
          <w:ilvl w:val="0"/>
          <w:numId w:val="20"/>
        </w:numPr>
        <w:spacing w:before="100" w:beforeAutospacing="1" w:after="100" w:afterAutospacing="1"/>
        <w:rPr>
          <w:lang w:eastAsia="en-GB"/>
        </w:rPr>
      </w:pPr>
      <w:r w:rsidRPr="00A75D98">
        <w:rPr>
          <w:rFonts w:eastAsia="Times New Roman" w:cstheme="minorHAnsi"/>
          <w:lang w:eastAsia="en-GB"/>
        </w:rPr>
        <w:t>Any other known assurance related issues.</w:t>
      </w:r>
    </w:p>
    <w:p w:rsidR="00EE463E" w:rsidP="00EE463E" w:rsidRDefault="00A75D98" w14:paraId="58E03322" w14:textId="77777777">
      <w:pPr>
        <w:shd w:val="clear" w:color="auto" w:fill="FFFFFF"/>
        <w:spacing w:after="225"/>
        <w:rPr>
          <w:rFonts w:eastAsia="Times New Roman" w:cstheme="minorHAnsi"/>
          <w:color w:val="1D1D1D"/>
          <w:lang w:eastAsia="en-GB"/>
        </w:rPr>
      </w:pPr>
      <w:r>
        <w:rPr>
          <w:rFonts w:eastAsia="Times New Roman" w:cstheme="minorHAnsi"/>
          <w:lang w:eastAsia="en-GB"/>
        </w:rPr>
        <w:t xml:space="preserve">1.4 </w:t>
      </w:r>
      <w:r w:rsidRPr="00A75D98" w:rsidR="000E0FFA">
        <w:rPr>
          <w:rFonts w:eastAsia="Times New Roman" w:cstheme="minorHAnsi"/>
          <w:lang w:eastAsia="en-GB"/>
        </w:rPr>
        <w:t>Where partner organisations will be in receipt of Lancaster University funds or where a funder will award funds greater than £30,000</w:t>
      </w:r>
      <w:r w:rsidR="000F19FB">
        <w:rPr>
          <w:rFonts w:eastAsia="Times New Roman" w:cstheme="minorHAnsi"/>
          <w:lang w:eastAsia="en-GB"/>
        </w:rPr>
        <w:t>,</w:t>
      </w:r>
      <w:r w:rsidRPr="00A75D98" w:rsidR="000E0FFA">
        <w:rPr>
          <w:rFonts w:eastAsia="Times New Roman" w:cstheme="minorHAnsi"/>
          <w:lang w:eastAsia="en-GB"/>
        </w:rPr>
        <w:t xml:space="preserve"> and projects are assessed as medium to high risk using the risk assessment matrix below, such cases will be reviewed by t</w:t>
      </w:r>
      <w:r w:rsidRPr="00A75D98" w:rsidR="000E0FFA">
        <w:rPr>
          <w:rFonts w:eastAsia="Times New Roman" w:cstheme="minorHAnsi"/>
          <w:color w:val="1D1D1D"/>
          <w:lang w:eastAsia="en-GB"/>
        </w:rPr>
        <w:t>he Research and Enterprise Due Diligence Panel (REDD Panel).</w:t>
      </w:r>
      <w:r w:rsidR="00EE463E">
        <w:rPr>
          <w:rFonts w:eastAsia="Times New Roman" w:cstheme="minorHAnsi"/>
          <w:color w:val="1D1D1D"/>
          <w:lang w:eastAsia="en-GB"/>
        </w:rPr>
        <w:t xml:space="preserve"> </w:t>
      </w:r>
    </w:p>
    <w:p w:rsidR="00EE463E" w:rsidP="00EE463E" w:rsidRDefault="00A75D98" w14:paraId="04D707B7" w14:textId="77777777">
      <w:pPr>
        <w:shd w:val="clear" w:color="auto" w:fill="FFFFFF"/>
        <w:spacing w:after="225"/>
        <w:rPr>
          <w:rFonts w:eastAsia="Times New Roman" w:asciiTheme="minorHAnsi" w:hAnsiTheme="minorHAnsi" w:cstheme="minorHAnsi"/>
          <w:color w:val="1D1D1D"/>
          <w:lang w:eastAsia="en-GB"/>
        </w:rPr>
      </w:pPr>
      <w:r>
        <w:rPr>
          <w:rFonts w:eastAsia="Times New Roman" w:asciiTheme="minorHAnsi" w:hAnsiTheme="minorHAnsi" w:cstheme="minorHAnsi"/>
          <w:color w:val="1D1D1D"/>
          <w:lang w:eastAsia="en-GB"/>
        </w:rPr>
        <w:t xml:space="preserve">1.5 </w:t>
      </w:r>
      <w:r w:rsidRPr="004E3344" w:rsidR="000E0FFA">
        <w:rPr>
          <w:rFonts w:eastAsia="Times New Roman" w:asciiTheme="minorHAnsi" w:hAnsiTheme="minorHAnsi" w:cstheme="minorHAnsi"/>
          <w:color w:val="1D1D1D"/>
          <w:lang w:eastAsia="en-GB"/>
        </w:rPr>
        <w:t xml:space="preserve">The scope of this </w:t>
      </w:r>
      <w:r w:rsidR="000E0FFA">
        <w:rPr>
          <w:rFonts w:eastAsia="Times New Roman" w:asciiTheme="minorHAnsi" w:hAnsiTheme="minorHAnsi" w:cstheme="minorHAnsi"/>
          <w:color w:val="1D1D1D"/>
          <w:lang w:eastAsia="en-GB"/>
        </w:rPr>
        <w:t>due diligence process</w:t>
      </w:r>
      <w:r w:rsidRPr="004E3344" w:rsidR="000E0FFA">
        <w:rPr>
          <w:rFonts w:eastAsia="Times New Roman" w:asciiTheme="minorHAnsi" w:hAnsiTheme="minorHAnsi" w:cstheme="minorHAnsi"/>
          <w:color w:val="1D1D1D"/>
          <w:lang w:eastAsia="en-GB"/>
        </w:rPr>
        <w:t xml:space="preserve"> includes</w:t>
      </w:r>
      <w:r w:rsidR="000E0FFA">
        <w:rPr>
          <w:rFonts w:eastAsia="Times New Roman" w:asciiTheme="minorHAnsi" w:hAnsiTheme="minorHAnsi" w:cstheme="minorHAnsi"/>
          <w:color w:val="1D1D1D"/>
          <w:lang w:eastAsia="en-GB"/>
        </w:rPr>
        <w:t xml:space="preserve"> research, enterprise and consultancy</w:t>
      </w:r>
      <w:r w:rsidRPr="004E3344" w:rsidR="000E0FFA">
        <w:rPr>
          <w:rFonts w:eastAsia="Times New Roman" w:asciiTheme="minorHAnsi" w:hAnsiTheme="minorHAnsi" w:cstheme="minorHAnsi"/>
          <w:color w:val="1D1D1D"/>
          <w:lang w:eastAsia="en-GB"/>
        </w:rPr>
        <w:t xml:space="preserve"> </w:t>
      </w:r>
      <w:r w:rsidR="000E0FFA">
        <w:rPr>
          <w:rFonts w:eastAsia="Times New Roman" w:asciiTheme="minorHAnsi" w:hAnsiTheme="minorHAnsi" w:cstheme="minorHAnsi"/>
          <w:color w:val="1D1D1D"/>
          <w:lang w:eastAsia="en-GB"/>
        </w:rPr>
        <w:t xml:space="preserve">activities defined in the </w:t>
      </w:r>
      <w:hyperlink w:history="1" w:anchor="_Acceptance_of_Funding">
        <w:r w:rsidRPr="003806DF" w:rsidR="000E0FFA">
          <w:rPr>
            <w:rStyle w:val="Hyperlink"/>
            <w:rFonts w:eastAsia="Times New Roman" w:asciiTheme="minorHAnsi" w:hAnsiTheme="minorHAnsi" w:cstheme="minorHAnsi"/>
            <w:i/>
            <w:lang w:eastAsia="en-GB"/>
          </w:rPr>
          <w:t>acceptance of funding from external research and enterprise policy</w:t>
        </w:r>
      </w:hyperlink>
      <w:r w:rsidR="000E0FFA">
        <w:rPr>
          <w:rFonts w:eastAsia="Times New Roman" w:asciiTheme="minorHAnsi" w:hAnsiTheme="minorHAnsi" w:cstheme="minorHAnsi"/>
          <w:color w:val="1D1D1D"/>
          <w:lang w:eastAsia="en-GB"/>
        </w:rPr>
        <w:t xml:space="preserve"> </w:t>
      </w:r>
      <w:r w:rsidR="003806DF">
        <w:rPr>
          <w:rFonts w:eastAsia="Times New Roman" w:asciiTheme="minorHAnsi" w:hAnsiTheme="minorHAnsi" w:cstheme="minorHAnsi"/>
          <w:color w:val="1D1D1D"/>
          <w:lang w:eastAsia="en-GB"/>
        </w:rPr>
        <w:t>(Part 3)</w:t>
      </w:r>
      <w:r w:rsidR="000E0FFA">
        <w:rPr>
          <w:rFonts w:eastAsia="Times New Roman" w:asciiTheme="minorHAnsi" w:hAnsiTheme="minorHAnsi" w:cstheme="minorHAnsi"/>
          <w:color w:val="1D1D1D"/>
          <w:lang w:eastAsia="en-GB"/>
        </w:rPr>
        <w:t xml:space="preserve"> and covers:</w:t>
      </w:r>
    </w:p>
    <w:p w:rsidRPr="00EE463E" w:rsidR="00EE463E" w:rsidP="00EE463E" w:rsidRDefault="000E0FFA" w14:paraId="0E82F0D6" w14:textId="77777777">
      <w:pPr>
        <w:pStyle w:val="ListParagraph"/>
        <w:numPr>
          <w:ilvl w:val="0"/>
          <w:numId w:val="6"/>
        </w:numPr>
        <w:shd w:val="clear" w:color="auto" w:fill="FFFFFF"/>
        <w:spacing w:after="225"/>
        <w:ind w:left="1077" w:hanging="357"/>
        <w:contextualSpacing/>
        <w:rPr>
          <w:rFonts w:eastAsia="Times New Roman" w:asciiTheme="minorHAnsi" w:hAnsiTheme="minorHAnsi" w:cstheme="minorHAnsi"/>
          <w:color w:val="1D1D1D"/>
          <w:lang w:eastAsia="en-GB"/>
        </w:rPr>
      </w:pPr>
      <w:r w:rsidRPr="00EE463E">
        <w:rPr>
          <w:rFonts w:eastAsia="Times New Roman" w:asciiTheme="minorHAnsi" w:hAnsiTheme="minorHAnsi" w:cstheme="minorHAnsi"/>
          <w:color w:val="1D1D1D"/>
          <w:lang w:eastAsia="en-GB"/>
        </w:rPr>
        <w:t>all research and enterprise relationships with third parties entered into by or in connection with the University;</w:t>
      </w:r>
      <w:r w:rsidRPr="00EE463E">
        <w:rPr>
          <w:rFonts w:eastAsia="Calibri" w:cs="Times New Roman"/>
        </w:rPr>
        <w:t xml:space="preserve"> </w:t>
      </w:r>
    </w:p>
    <w:p w:rsidRPr="00EE463E" w:rsidR="00EE463E" w:rsidP="00EE463E" w:rsidRDefault="000E0FFA" w14:paraId="0D00A1ED" w14:textId="77777777">
      <w:pPr>
        <w:pStyle w:val="ListParagraph"/>
        <w:numPr>
          <w:ilvl w:val="0"/>
          <w:numId w:val="6"/>
        </w:numPr>
        <w:shd w:val="clear" w:color="auto" w:fill="FFFFFF"/>
        <w:spacing w:after="225"/>
        <w:ind w:left="1077" w:hanging="357"/>
        <w:contextualSpacing/>
        <w:rPr>
          <w:rFonts w:eastAsia="Times New Roman" w:asciiTheme="minorHAnsi" w:hAnsiTheme="minorHAnsi" w:cstheme="minorHAnsi"/>
          <w:color w:val="1D1D1D"/>
          <w:lang w:eastAsia="en-GB"/>
        </w:rPr>
      </w:pPr>
      <w:r w:rsidRPr="00EE463E">
        <w:rPr>
          <w:rFonts w:eastAsia="Calibri" w:cs="Times New Roman"/>
        </w:rPr>
        <w:t xml:space="preserve">multi-collaborative research projects, where overseas third party organisations are in receipt of funds from the University; </w:t>
      </w:r>
    </w:p>
    <w:p w:rsidRPr="00EE463E" w:rsidR="000E0FFA" w:rsidP="00EE463E" w:rsidRDefault="000E0FFA" w14:paraId="088CCE97" w14:textId="4A507E0D">
      <w:pPr>
        <w:pStyle w:val="ListParagraph"/>
        <w:numPr>
          <w:ilvl w:val="0"/>
          <w:numId w:val="6"/>
        </w:numPr>
        <w:shd w:val="clear" w:color="auto" w:fill="FFFFFF"/>
        <w:spacing w:after="225"/>
        <w:ind w:left="1077" w:hanging="357"/>
        <w:rPr>
          <w:rFonts w:eastAsia="Times New Roman" w:asciiTheme="minorHAnsi" w:hAnsiTheme="minorHAnsi" w:cstheme="minorHAnsi"/>
          <w:color w:val="1D1D1D"/>
          <w:lang w:eastAsia="en-GB"/>
        </w:rPr>
      </w:pPr>
      <w:r w:rsidRPr="00EE463E">
        <w:rPr>
          <w:rFonts w:eastAsia="Calibri" w:cs="Times New Roman"/>
        </w:rPr>
        <w:t xml:space="preserve">any research funder identified through the University policy on acceptance of funding for external research and enterprise activities [link]. </w:t>
      </w:r>
    </w:p>
    <w:p w:rsidR="000E0FFA" w:rsidP="00A75D98" w:rsidRDefault="000E0FFA" w14:paraId="1CDE1E7F" w14:textId="77777777">
      <w:pPr>
        <w:pStyle w:val="Heading1"/>
        <w:rPr>
          <w:rFonts w:eastAsia="Times New Roman" w:asciiTheme="minorHAnsi" w:hAnsiTheme="minorHAnsi" w:cstheme="minorHAnsi"/>
          <w:b w:val="0"/>
          <w:color w:val="1D1D1D"/>
          <w:sz w:val="22"/>
          <w:szCs w:val="22"/>
          <w:lang w:eastAsia="en-GB"/>
        </w:rPr>
      </w:pPr>
      <w:r>
        <w:rPr>
          <w:rFonts w:ascii="Calibri" w:hAnsi="Calibri" w:eastAsia="Calibri" w:cs="Times New Roman"/>
          <w:b w:val="0"/>
          <w:color w:val="auto"/>
          <w:sz w:val="22"/>
          <w:szCs w:val="22"/>
        </w:rPr>
        <w:lastRenderedPageBreak/>
        <w:t xml:space="preserve">It will have </w:t>
      </w:r>
      <w:r w:rsidRPr="004E3344">
        <w:rPr>
          <w:rFonts w:eastAsia="Times New Roman" w:asciiTheme="minorHAnsi" w:hAnsiTheme="minorHAnsi" w:cstheme="minorHAnsi"/>
          <w:b w:val="0"/>
          <w:color w:val="1D1D1D"/>
          <w:sz w:val="22"/>
          <w:szCs w:val="22"/>
          <w:lang w:eastAsia="en-GB"/>
        </w:rPr>
        <w:t xml:space="preserve">particular focus on: </w:t>
      </w:r>
    </w:p>
    <w:p w:rsidR="000E0FFA" w:rsidP="00A75D98" w:rsidRDefault="000E0FFA" w14:paraId="347A2FE3" w14:textId="77777777">
      <w:pPr>
        <w:pStyle w:val="ListParagraph"/>
        <w:numPr>
          <w:ilvl w:val="0"/>
          <w:numId w:val="5"/>
        </w:numPr>
        <w:shd w:val="clear" w:color="auto" w:fill="FFFFFF"/>
        <w:spacing w:after="225"/>
        <w:ind w:left="1080"/>
        <w:contextualSpacing/>
        <w:rPr>
          <w:rFonts w:eastAsia="Times New Roman" w:cstheme="minorHAnsi"/>
          <w:color w:val="1D1D1D"/>
          <w:lang w:eastAsia="en-GB"/>
        </w:rPr>
      </w:pPr>
      <w:r>
        <w:rPr>
          <w:rFonts w:eastAsia="Times New Roman" w:cstheme="minorHAnsi"/>
          <w:color w:val="1D1D1D"/>
          <w:lang w:eastAsia="en-GB"/>
        </w:rPr>
        <w:t>Overseas research funders with emphasis on financial and reputational risks</w:t>
      </w:r>
    </w:p>
    <w:p w:rsidR="000E0FFA" w:rsidP="00A75D98" w:rsidRDefault="000E0FFA" w14:paraId="4E8BF739" w14:textId="77777777">
      <w:pPr>
        <w:pStyle w:val="ListParagraph"/>
        <w:numPr>
          <w:ilvl w:val="0"/>
          <w:numId w:val="5"/>
        </w:numPr>
        <w:shd w:val="clear" w:color="auto" w:fill="FFFFFF"/>
        <w:spacing w:after="225"/>
        <w:ind w:left="1080"/>
        <w:contextualSpacing/>
        <w:rPr>
          <w:rFonts w:eastAsia="Times New Roman" w:cstheme="minorHAnsi"/>
          <w:color w:val="1D1D1D"/>
          <w:lang w:eastAsia="en-GB"/>
        </w:rPr>
      </w:pPr>
      <w:r>
        <w:rPr>
          <w:rFonts w:eastAsia="Times New Roman" w:cstheme="minorHAnsi"/>
          <w:color w:val="1D1D1D"/>
          <w:lang w:eastAsia="en-GB"/>
        </w:rPr>
        <w:t>Co</w:t>
      </w:r>
      <w:r w:rsidRPr="004E3344">
        <w:rPr>
          <w:rFonts w:eastAsia="Times New Roman" w:cstheme="minorHAnsi"/>
          <w:color w:val="1D1D1D"/>
          <w:lang w:eastAsia="en-GB"/>
        </w:rPr>
        <w:t>llaborative partnerships for research</w:t>
      </w:r>
    </w:p>
    <w:p w:rsidR="000E0FFA" w:rsidP="00A75D98" w:rsidRDefault="000E0FFA" w14:paraId="6A9824CA" w14:textId="77777777">
      <w:pPr>
        <w:pStyle w:val="ListParagraph"/>
        <w:numPr>
          <w:ilvl w:val="0"/>
          <w:numId w:val="5"/>
        </w:numPr>
        <w:shd w:val="clear" w:color="auto" w:fill="FFFFFF"/>
        <w:spacing w:after="225"/>
        <w:ind w:left="1077" w:hanging="357"/>
        <w:contextualSpacing/>
        <w:rPr>
          <w:rFonts w:eastAsia="Times New Roman" w:cstheme="minorHAnsi"/>
          <w:color w:val="1D1D1D"/>
          <w:lang w:eastAsia="en-GB"/>
        </w:rPr>
      </w:pPr>
      <w:r>
        <w:rPr>
          <w:rFonts w:eastAsia="Times New Roman" w:cstheme="minorHAnsi"/>
          <w:color w:val="1D1D1D"/>
          <w:lang w:eastAsia="en-GB"/>
        </w:rPr>
        <w:t>Collaborative partnerships for enterprise</w:t>
      </w:r>
    </w:p>
    <w:p w:rsidRPr="00A75D98" w:rsidR="000E0FFA" w:rsidP="00A75D98" w:rsidRDefault="000E0FFA" w14:paraId="69C8467A" w14:textId="0476258D">
      <w:pPr>
        <w:pStyle w:val="ListParagraph"/>
        <w:numPr>
          <w:ilvl w:val="0"/>
          <w:numId w:val="5"/>
        </w:numPr>
        <w:shd w:val="clear" w:color="auto" w:fill="FFFFFF"/>
        <w:spacing w:after="225"/>
        <w:ind w:left="1077" w:hanging="357"/>
        <w:contextualSpacing/>
        <w:rPr>
          <w:rFonts w:eastAsia="Times New Roman"/>
          <w:lang w:eastAsia="en-GB"/>
        </w:rPr>
      </w:pPr>
      <w:r w:rsidRPr="00650313">
        <w:rPr>
          <w:rFonts w:eastAsia="Times New Roman" w:cstheme="minorHAnsi"/>
          <w:color w:val="1D1D1D"/>
          <w:lang w:eastAsia="en-GB"/>
        </w:rPr>
        <w:t xml:space="preserve">Consultancy partners </w:t>
      </w:r>
    </w:p>
    <w:p w:rsidRPr="00A75D98" w:rsidR="000E0FFA" w:rsidP="00A75D98" w:rsidRDefault="00A75D98" w14:paraId="4344A224" w14:textId="174CA8C3">
      <w:pPr>
        <w:shd w:val="clear" w:color="auto" w:fill="FFFFFF"/>
        <w:spacing w:after="225"/>
        <w:rPr>
          <w:rFonts w:eastAsia="Times New Roman"/>
          <w:lang w:eastAsia="en-GB"/>
        </w:rPr>
      </w:pPr>
      <w:r>
        <w:rPr>
          <w:rFonts w:eastAsia="Calibri" w:cs="Times New Roman"/>
        </w:rPr>
        <w:t xml:space="preserve">1.6 </w:t>
      </w:r>
      <w:r w:rsidRPr="00A75D98" w:rsidR="000E0FFA">
        <w:rPr>
          <w:rFonts w:eastAsia="Calibri" w:cs="Times New Roman"/>
        </w:rPr>
        <w:t xml:space="preserve">A due diligence light-touch first check should be undertaken during initial stages of project development using guidance on the Research and Enterprise </w:t>
      </w:r>
      <w:hyperlink w:history="1" r:id="rId9">
        <w:r w:rsidRPr="003806DF" w:rsidR="000E0FFA">
          <w:rPr>
            <w:rStyle w:val="Hyperlink"/>
            <w:rFonts w:eastAsia="Calibri" w:cs="Times New Roman"/>
          </w:rPr>
          <w:t>website</w:t>
        </w:r>
      </w:hyperlink>
      <w:r w:rsidRPr="00A75D98" w:rsidR="000E0FFA">
        <w:rPr>
          <w:rFonts w:eastAsia="Calibri" w:cs="Times New Roman"/>
        </w:rPr>
        <w:t xml:space="preserve"> to assess whether there are potential reputational risks or financial and operational risks of collaborating with an external organisation, either as funder or research partner. The first checks will identify funders/partners or projects that require further review by the REDD Panel. Ideally, an initial assessment for any specific funder or partner will be undertaken prior to submission, but must be completed and approved </w:t>
      </w:r>
      <w:r w:rsidRPr="00A75D98" w:rsidR="000E0FFA">
        <w:rPr>
          <w:rFonts w:eastAsia="Calibri" w:cs="Times New Roman"/>
          <w:i/>
        </w:rPr>
        <w:t>before</w:t>
      </w:r>
      <w:r w:rsidRPr="00A75D98" w:rsidR="000E0FFA">
        <w:rPr>
          <w:rFonts w:eastAsia="Calibri" w:cs="Times New Roman"/>
        </w:rPr>
        <w:t xml:space="preserve"> any funding is accepted and </w:t>
      </w:r>
      <w:r w:rsidRPr="00A75D98" w:rsidR="000E0FFA">
        <w:rPr>
          <w:rFonts w:eastAsia="Calibri" w:cs="Times New Roman"/>
          <w:i/>
        </w:rPr>
        <w:t>prior</w:t>
      </w:r>
      <w:r w:rsidRPr="00A75D98" w:rsidR="000E0FFA">
        <w:rPr>
          <w:rFonts w:eastAsia="Calibri" w:cs="Times New Roman"/>
        </w:rPr>
        <w:t xml:space="preserve"> to payment of funds or commencement of the research or enterprise activity.  A flow chart is included in A</w:t>
      </w:r>
      <w:r w:rsidRPr="00A75D98" w:rsidR="004C6BC7">
        <w:rPr>
          <w:rFonts w:eastAsia="Calibri" w:cs="Times New Roman"/>
        </w:rPr>
        <w:t>ppendix</w:t>
      </w:r>
      <w:r w:rsidRPr="00A75D98" w:rsidR="000E0FFA">
        <w:rPr>
          <w:rFonts w:eastAsia="Calibri" w:cs="Times New Roman"/>
        </w:rPr>
        <w:t xml:space="preserve"> 1.</w:t>
      </w:r>
    </w:p>
    <w:p w:rsidR="000E0FFA" w:rsidP="00A75D98" w:rsidRDefault="00A75D98" w14:paraId="3B0D2787" w14:textId="344C579F">
      <w:pPr>
        <w:pStyle w:val="Heading2"/>
        <w:rPr>
          <w:rFonts w:eastAsia="Times New Roman"/>
          <w:lang w:eastAsia="en-GB"/>
        </w:rPr>
      </w:pPr>
      <w:r>
        <w:rPr>
          <w:rFonts w:eastAsia="Times New Roman"/>
          <w:lang w:eastAsia="en-GB"/>
        </w:rPr>
        <w:t xml:space="preserve">2. </w:t>
      </w:r>
      <w:r w:rsidR="000E0FFA">
        <w:rPr>
          <w:rFonts w:eastAsia="Times New Roman"/>
          <w:lang w:eastAsia="en-GB"/>
        </w:rPr>
        <w:t>Risk assessment</w:t>
      </w:r>
    </w:p>
    <w:p w:rsidRPr="00FF4DCE" w:rsidR="000E0FFA" w:rsidP="00A75D98" w:rsidRDefault="00A75D98" w14:paraId="0C7A4511" w14:textId="4014DB13">
      <w:pPr>
        <w:rPr>
          <w:b/>
          <w:lang w:eastAsia="en-GB"/>
        </w:rPr>
      </w:pPr>
      <w:r>
        <w:rPr>
          <w:b/>
          <w:lang w:eastAsia="en-GB"/>
        </w:rPr>
        <w:t xml:space="preserve">2.1 </w:t>
      </w:r>
      <w:r w:rsidRPr="00FF4DCE" w:rsidR="000E0FFA">
        <w:rPr>
          <w:b/>
          <w:lang w:eastAsia="en-GB"/>
        </w:rPr>
        <w:t>Assessment Matrix</w:t>
      </w:r>
    </w:p>
    <w:tbl>
      <w:tblPr>
        <w:tblW w:w="9356" w:type="dxa"/>
        <w:tblInd w:w="-10" w:type="dxa"/>
        <w:tblLook w:val="04A0" w:firstRow="1" w:lastRow="0" w:firstColumn="1" w:lastColumn="0" w:noHBand="0" w:noVBand="1"/>
      </w:tblPr>
      <w:tblGrid>
        <w:gridCol w:w="2127"/>
        <w:gridCol w:w="2268"/>
        <w:gridCol w:w="2551"/>
        <w:gridCol w:w="2410"/>
      </w:tblGrid>
      <w:tr w:rsidRPr="00AB2FC3" w:rsidR="000E0FFA" w:rsidTr="00A75D98" w14:paraId="7CE4B246" w14:textId="77777777">
        <w:trPr>
          <w:trHeight w:val="288"/>
        </w:trPr>
        <w:tc>
          <w:tcPr>
            <w:tcW w:w="2127" w:type="dxa"/>
            <w:tcBorders>
              <w:top w:val="single" w:color="000000" w:sz="8" w:space="0"/>
              <w:left w:val="single" w:color="000000" w:sz="8" w:space="0"/>
              <w:bottom w:val="nil"/>
              <w:right w:val="single" w:color="000000" w:sz="8" w:space="0"/>
            </w:tcBorders>
            <w:shd w:val="clear" w:color="auto" w:fill="auto"/>
            <w:vAlign w:val="center"/>
            <w:hideMark/>
          </w:tcPr>
          <w:p w:rsidRPr="00AB2FC3" w:rsidR="000E0FFA" w:rsidP="003E3077" w:rsidRDefault="000E0FFA" w14:paraId="49B867BB" w14:textId="77777777">
            <w:pPr>
              <w:rPr>
                <w:rFonts w:eastAsia="Times New Roman"/>
                <w:b/>
                <w:bCs/>
                <w:color w:val="000000"/>
                <w:sz w:val="20"/>
                <w:szCs w:val="20"/>
                <w:lang w:eastAsia="en-GB"/>
              </w:rPr>
            </w:pPr>
            <w:r w:rsidRPr="00AB2FC3">
              <w:rPr>
                <w:rFonts w:eastAsia="Times New Roman"/>
                <w:b/>
                <w:bCs/>
                <w:color w:val="000000"/>
                <w:sz w:val="20"/>
                <w:lang w:eastAsia="en-GB"/>
              </w:rPr>
              <w:t>Category</w:t>
            </w:r>
          </w:p>
        </w:tc>
        <w:tc>
          <w:tcPr>
            <w:tcW w:w="2268" w:type="dxa"/>
            <w:tcBorders>
              <w:top w:val="single" w:color="000000" w:sz="8" w:space="0"/>
              <w:left w:val="nil"/>
              <w:bottom w:val="nil"/>
              <w:right w:val="single" w:color="000000" w:sz="8" w:space="0"/>
            </w:tcBorders>
            <w:shd w:val="clear" w:color="000000" w:fill="92D050"/>
            <w:vAlign w:val="center"/>
            <w:hideMark/>
          </w:tcPr>
          <w:p w:rsidRPr="00AB2FC3" w:rsidR="000E0FFA" w:rsidP="003E3077" w:rsidRDefault="000E0FFA" w14:paraId="42705780" w14:textId="77777777">
            <w:pPr>
              <w:rPr>
                <w:rFonts w:eastAsia="Times New Roman"/>
                <w:b/>
                <w:bCs/>
                <w:color w:val="000000"/>
                <w:sz w:val="20"/>
                <w:szCs w:val="20"/>
                <w:lang w:eastAsia="en-GB"/>
              </w:rPr>
            </w:pPr>
            <w:r w:rsidRPr="00AB2FC3">
              <w:rPr>
                <w:rFonts w:eastAsia="Times New Roman"/>
                <w:b/>
                <w:bCs/>
                <w:color w:val="000000"/>
                <w:sz w:val="20"/>
                <w:lang w:eastAsia="en-GB"/>
              </w:rPr>
              <w:t>Low (scores 1)</w:t>
            </w:r>
          </w:p>
        </w:tc>
        <w:tc>
          <w:tcPr>
            <w:tcW w:w="2551" w:type="dxa"/>
            <w:tcBorders>
              <w:top w:val="single" w:color="000000" w:sz="8" w:space="0"/>
              <w:left w:val="nil"/>
              <w:bottom w:val="nil"/>
              <w:right w:val="single" w:color="000000" w:sz="8" w:space="0"/>
            </w:tcBorders>
            <w:shd w:val="clear" w:color="000000" w:fill="FFC000"/>
            <w:vAlign w:val="center"/>
            <w:hideMark/>
          </w:tcPr>
          <w:p w:rsidRPr="00AB2FC3" w:rsidR="000E0FFA" w:rsidP="003E3077" w:rsidRDefault="000E0FFA" w14:paraId="6AD9AD9A" w14:textId="77777777">
            <w:pPr>
              <w:rPr>
                <w:rFonts w:eastAsia="Times New Roman"/>
                <w:b/>
                <w:bCs/>
                <w:color w:val="000000"/>
                <w:sz w:val="20"/>
                <w:szCs w:val="20"/>
                <w:lang w:eastAsia="en-GB"/>
              </w:rPr>
            </w:pPr>
            <w:r w:rsidRPr="00AB2FC3">
              <w:rPr>
                <w:rFonts w:eastAsia="Times New Roman"/>
                <w:b/>
                <w:bCs/>
                <w:color w:val="000000"/>
                <w:sz w:val="20"/>
                <w:lang w:eastAsia="en-GB"/>
              </w:rPr>
              <w:t>Medium (scores 2)</w:t>
            </w:r>
          </w:p>
        </w:tc>
        <w:tc>
          <w:tcPr>
            <w:tcW w:w="2410" w:type="dxa"/>
            <w:tcBorders>
              <w:top w:val="single" w:color="000000" w:sz="8" w:space="0"/>
              <w:left w:val="nil"/>
              <w:bottom w:val="nil"/>
              <w:right w:val="single" w:color="000000" w:sz="8" w:space="0"/>
            </w:tcBorders>
            <w:shd w:val="clear" w:color="000000" w:fill="FF0000"/>
            <w:vAlign w:val="center"/>
            <w:hideMark/>
          </w:tcPr>
          <w:p w:rsidRPr="00AB2FC3" w:rsidR="000E0FFA" w:rsidP="003E3077" w:rsidRDefault="000E0FFA" w14:paraId="3BE5E08F" w14:textId="77777777">
            <w:pPr>
              <w:rPr>
                <w:rFonts w:eastAsia="Times New Roman"/>
                <w:b/>
                <w:bCs/>
                <w:color w:val="000000"/>
                <w:sz w:val="20"/>
                <w:szCs w:val="20"/>
                <w:lang w:eastAsia="en-GB"/>
              </w:rPr>
            </w:pPr>
            <w:r w:rsidRPr="00AB2FC3">
              <w:rPr>
                <w:rFonts w:eastAsia="Times New Roman"/>
                <w:b/>
                <w:bCs/>
                <w:color w:val="000000"/>
                <w:sz w:val="20"/>
                <w:lang w:eastAsia="en-GB"/>
              </w:rPr>
              <w:t>High (scores 3)</w:t>
            </w:r>
          </w:p>
        </w:tc>
      </w:tr>
      <w:tr w:rsidRPr="00AB2FC3" w:rsidR="000E0FFA" w:rsidTr="00A75D98" w14:paraId="4A5B445C" w14:textId="77777777">
        <w:trPr>
          <w:trHeight w:val="552"/>
        </w:trPr>
        <w:tc>
          <w:tcPr>
            <w:tcW w:w="2127"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0E0FFA" w:rsidP="003E3077" w:rsidRDefault="000E0FFA" w14:paraId="088D6882" w14:textId="77777777">
            <w:pPr>
              <w:rPr>
                <w:rFonts w:eastAsia="Times New Roman"/>
                <w:color w:val="000000"/>
                <w:sz w:val="20"/>
                <w:szCs w:val="20"/>
                <w:lang w:eastAsia="en-GB"/>
              </w:rPr>
            </w:pPr>
            <w:r w:rsidRPr="00FF4DCE">
              <w:rPr>
                <w:rFonts w:eastAsia="Times New Roman"/>
                <w:color w:val="000000"/>
                <w:sz w:val="20"/>
                <w:szCs w:val="20"/>
                <w:lang w:eastAsia="en-GB"/>
              </w:rPr>
              <w:t>Grant Value/ Funding Value</w:t>
            </w:r>
          </w:p>
          <w:p w:rsidRPr="00FF4DCE" w:rsidR="00EE463E" w:rsidP="003E3077" w:rsidRDefault="00EE463E" w14:paraId="6C982FF2" w14:textId="5D650C15">
            <w:pPr>
              <w:rPr>
                <w:rFonts w:eastAsia="Times New Roman"/>
                <w:color w:val="000000"/>
                <w:sz w:val="20"/>
                <w:szCs w:val="20"/>
                <w:lang w:eastAsia="en-GB"/>
              </w:rPr>
            </w:pPr>
          </w:p>
        </w:tc>
        <w:tc>
          <w:tcPr>
            <w:tcW w:w="2268" w:type="dxa"/>
            <w:tcBorders>
              <w:top w:val="single" w:color="auto" w:sz="4" w:space="0"/>
              <w:left w:val="nil"/>
              <w:bottom w:val="single" w:color="auto" w:sz="4" w:space="0"/>
              <w:right w:val="single" w:color="auto" w:sz="4" w:space="0"/>
            </w:tcBorders>
            <w:shd w:val="clear" w:color="auto" w:fill="auto"/>
            <w:vAlign w:val="center"/>
            <w:hideMark/>
          </w:tcPr>
          <w:p w:rsidRPr="00FF4DCE" w:rsidR="000E0FFA" w:rsidP="003E3077" w:rsidRDefault="000E0FFA" w14:paraId="25745552" w14:textId="77777777">
            <w:pPr>
              <w:rPr>
                <w:rFonts w:eastAsia="Times New Roman"/>
                <w:color w:val="000000"/>
                <w:sz w:val="20"/>
                <w:szCs w:val="20"/>
                <w:lang w:eastAsia="en-GB"/>
              </w:rPr>
            </w:pPr>
            <w:r w:rsidRPr="00FF4DCE">
              <w:rPr>
                <w:rFonts w:eastAsia="Times New Roman"/>
                <w:color w:val="000000"/>
                <w:sz w:val="20"/>
                <w:szCs w:val="20"/>
                <w:lang w:eastAsia="en-GB"/>
              </w:rPr>
              <w:t>£30,000 - £99,999</w:t>
            </w:r>
          </w:p>
        </w:tc>
        <w:tc>
          <w:tcPr>
            <w:tcW w:w="2551" w:type="dxa"/>
            <w:tcBorders>
              <w:top w:val="single" w:color="auto" w:sz="4" w:space="0"/>
              <w:left w:val="nil"/>
              <w:bottom w:val="single" w:color="auto" w:sz="4" w:space="0"/>
              <w:right w:val="single" w:color="auto" w:sz="4" w:space="0"/>
            </w:tcBorders>
            <w:shd w:val="clear" w:color="auto" w:fill="auto"/>
            <w:vAlign w:val="center"/>
            <w:hideMark/>
          </w:tcPr>
          <w:p w:rsidRPr="00FF4DCE" w:rsidR="000E0FFA" w:rsidP="003E3077" w:rsidRDefault="000E0FFA" w14:paraId="7AF9EEBF" w14:textId="77777777">
            <w:pPr>
              <w:rPr>
                <w:rFonts w:eastAsia="Times New Roman"/>
                <w:color w:val="000000"/>
                <w:sz w:val="20"/>
                <w:szCs w:val="20"/>
                <w:lang w:eastAsia="en-GB"/>
              </w:rPr>
            </w:pPr>
            <w:r w:rsidRPr="00FF4DCE">
              <w:rPr>
                <w:rFonts w:eastAsia="Times New Roman"/>
                <w:color w:val="000000"/>
                <w:sz w:val="20"/>
                <w:szCs w:val="20"/>
                <w:lang w:eastAsia="en-GB"/>
              </w:rPr>
              <w:t>£100,000 – £149,999</w:t>
            </w:r>
          </w:p>
        </w:tc>
        <w:tc>
          <w:tcPr>
            <w:tcW w:w="2410" w:type="dxa"/>
            <w:tcBorders>
              <w:top w:val="single" w:color="auto" w:sz="4" w:space="0"/>
              <w:left w:val="nil"/>
              <w:bottom w:val="single" w:color="auto" w:sz="4" w:space="0"/>
              <w:right w:val="single" w:color="auto" w:sz="4" w:space="0"/>
            </w:tcBorders>
            <w:shd w:val="clear" w:color="auto" w:fill="auto"/>
            <w:vAlign w:val="center"/>
            <w:hideMark/>
          </w:tcPr>
          <w:p w:rsidRPr="00FF4DCE" w:rsidR="000E0FFA" w:rsidP="003E3077" w:rsidRDefault="000E0FFA" w14:paraId="61490BEC" w14:textId="77777777">
            <w:pPr>
              <w:rPr>
                <w:rFonts w:eastAsia="Times New Roman"/>
                <w:color w:val="000000"/>
                <w:sz w:val="20"/>
                <w:szCs w:val="20"/>
                <w:lang w:eastAsia="en-GB"/>
              </w:rPr>
            </w:pPr>
            <w:r w:rsidRPr="00FF4DCE">
              <w:rPr>
                <w:rFonts w:eastAsia="Times New Roman"/>
                <w:color w:val="000000"/>
                <w:sz w:val="20"/>
                <w:szCs w:val="20"/>
                <w:lang w:eastAsia="en-GB"/>
              </w:rPr>
              <w:t>£150,000 and over</w:t>
            </w:r>
          </w:p>
        </w:tc>
      </w:tr>
      <w:tr w:rsidRPr="00AB2FC3" w:rsidR="000E0FFA" w:rsidTr="00A75D98" w14:paraId="244B85E2" w14:textId="77777777">
        <w:trPr>
          <w:trHeight w:val="288"/>
        </w:trPr>
        <w:tc>
          <w:tcPr>
            <w:tcW w:w="2127" w:type="dxa"/>
            <w:tcBorders>
              <w:top w:val="nil"/>
              <w:left w:val="single" w:color="auto" w:sz="4" w:space="0"/>
              <w:bottom w:val="single" w:color="auto" w:sz="4" w:space="0"/>
              <w:right w:val="single" w:color="auto" w:sz="4" w:space="0"/>
            </w:tcBorders>
            <w:shd w:val="clear" w:color="auto" w:fill="auto"/>
            <w:vAlign w:val="center"/>
            <w:hideMark/>
          </w:tcPr>
          <w:p w:rsidR="000E0FFA" w:rsidP="003E3077" w:rsidRDefault="000E0FFA" w14:paraId="73BCEF11" w14:textId="77777777">
            <w:pPr>
              <w:rPr>
                <w:rFonts w:eastAsia="Times New Roman"/>
                <w:color w:val="000000"/>
                <w:spacing w:val="-1"/>
                <w:sz w:val="20"/>
                <w:szCs w:val="20"/>
                <w:lang w:eastAsia="en-GB"/>
              </w:rPr>
            </w:pPr>
            <w:r w:rsidRPr="00FF4DCE">
              <w:rPr>
                <w:rFonts w:eastAsia="Times New Roman"/>
                <w:color w:val="000000"/>
                <w:spacing w:val="-1"/>
                <w:sz w:val="20"/>
                <w:szCs w:val="20"/>
                <w:lang w:eastAsia="en-GB"/>
              </w:rPr>
              <w:t>GlobalEdge Country Risk</w:t>
            </w:r>
          </w:p>
          <w:p w:rsidRPr="00FF4DCE" w:rsidR="00EE463E" w:rsidP="003E3077" w:rsidRDefault="00EE463E" w14:paraId="2A5A5F48" w14:textId="33EF05C4">
            <w:pPr>
              <w:rPr>
                <w:rFonts w:eastAsia="Times New Roman"/>
                <w:color w:val="000000"/>
                <w:sz w:val="20"/>
                <w:szCs w:val="20"/>
                <w:lang w:eastAsia="en-GB"/>
              </w:rPr>
            </w:pPr>
          </w:p>
        </w:tc>
        <w:tc>
          <w:tcPr>
            <w:tcW w:w="2268" w:type="dxa"/>
            <w:tcBorders>
              <w:top w:val="nil"/>
              <w:left w:val="nil"/>
              <w:bottom w:val="single" w:color="auto" w:sz="4" w:space="0"/>
              <w:right w:val="single" w:color="auto" w:sz="4" w:space="0"/>
            </w:tcBorders>
            <w:shd w:val="clear" w:color="auto" w:fill="auto"/>
            <w:vAlign w:val="center"/>
            <w:hideMark/>
          </w:tcPr>
          <w:p w:rsidRPr="00FF4DCE" w:rsidR="000E0FFA" w:rsidP="003E3077" w:rsidRDefault="000E0FFA" w14:paraId="6806092C" w14:textId="77777777">
            <w:pPr>
              <w:rPr>
                <w:rFonts w:eastAsia="Times New Roman"/>
                <w:color w:val="000000"/>
                <w:sz w:val="20"/>
                <w:szCs w:val="20"/>
                <w:lang w:eastAsia="en-GB"/>
              </w:rPr>
            </w:pPr>
            <w:r w:rsidRPr="00FF4DCE">
              <w:rPr>
                <w:rFonts w:eastAsia="Times New Roman"/>
                <w:color w:val="000000"/>
                <w:sz w:val="20"/>
                <w:szCs w:val="20"/>
                <w:lang w:eastAsia="en-GB"/>
              </w:rPr>
              <w:t>A1, A2, A3 and A4</w:t>
            </w:r>
          </w:p>
        </w:tc>
        <w:tc>
          <w:tcPr>
            <w:tcW w:w="2551" w:type="dxa"/>
            <w:tcBorders>
              <w:top w:val="nil"/>
              <w:left w:val="nil"/>
              <w:bottom w:val="single" w:color="auto" w:sz="4" w:space="0"/>
              <w:right w:val="single" w:color="auto" w:sz="4" w:space="0"/>
            </w:tcBorders>
            <w:shd w:val="clear" w:color="auto" w:fill="auto"/>
            <w:vAlign w:val="center"/>
            <w:hideMark/>
          </w:tcPr>
          <w:p w:rsidRPr="00FF4DCE" w:rsidR="000E0FFA" w:rsidP="003E3077" w:rsidRDefault="000E0FFA" w14:paraId="4A9AC9C8" w14:textId="77777777">
            <w:pPr>
              <w:rPr>
                <w:rFonts w:eastAsia="Times New Roman"/>
                <w:color w:val="000000"/>
                <w:sz w:val="20"/>
                <w:szCs w:val="20"/>
                <w:lang w:eastAsia="en-GB"/>
              </w:rPr>
            </w:pPr>
            <w:r w:rsidRPr="00FF4DCE">
              <w:rPr>
                <w:rFonts w:eastAsia="Times New Roman"/>
                <w:color w:val="000000"/>
                <w:sz w:val="20"/>
                <w:szCs w:val="20"/>
                <w:lang w:eastAsia="en-GB"/>
              </w:rPr>
              <w:t>B and C</w:t>
            </w:r>
          </w:p>
        </w:tc>
        <w:tc>
          <w:tcPr>
            <w:tcW w:w="2410" w:type="dxa"/>
            <w:tcBorders>
              <w:top w:val="nil"/>
              <w:left w:val="nil"/>
              <w:bottom w:val="single" w:color="auto" w:sz="4" w:space="0"/>
              <w:right w:val="single" w:color="auto" w:sz="4" w:space="0"/>
            </w:tcBorders>
            <w:shd w:val="clear" w:color="auto" w:fill="auto"/>
            <w:vAlign w:val="center"/>
            <w:hideMark/>
          </w:tcPr>
          <w:p w:rsidRPr="00FF4DCE" w:rsidR="000E0FFA" w:rsidP="003E3077" w:rsidRDefault="000E0FFA" w14:paraId="2F3BCD9B" w14:textId="77777777">
            <w:pPr>
              <w:rPr>
                <w:rFonts w:eastAsia="Times New Roman"/>
                <w:color w:val="000000"/>
                <w:sz w:val="20"/>
                <w:szCs w:val="20"/>
                <w:lang w:eastAsia="en-GB"/>
              </w:rPr>
            </w:pPr>
            <w:r w:rsidRPr="00FF4DCE">
              <w:rPr>
                <w:rFonts w:eastAsia="Times New Roman"/>
                <w:color w:val="000000"/>
                <w:sz w:val="20"/>
                <w:szCs w:val="20"/>
                <w:lang w:eastAsia="en-GB"/>
              </w:rPr>
              <w:t>D and E</w:t>
            </w:r>
          </w:p>
        </w:tc>
      </w:tr>
      <w:tr w:rsidRPr="00AB2FC3" w:rsidR="000E0FFA" w:rsidTr="00A75D98" w14:paraId="1C321695" w14:textId="77777777">
        <w:trPr>
          <w:trHeight w:val="288"/>
        </w:trPr>
        <w:tc>
          <w:tcPr>
            <w:tcW w:w="2127" w:type="dxa"/>
            <w:tcBorders>
              <w:top w:val="nil"/>
              <w:left w:val="single" w:color="auto" w:sz="4" w:space="0"/>
              <w:bottom w:val="single" w:color="auto" w:sz="4" w:space="0"/>
              <w:right w:val="single" w:color="auto" w:sz="4" w:space="0"/>
            </w:tcBorders>
            <w:shd w:val="clear" w:color="auto" w:fill="auto"/>
            <w:vAlign w:val="center"/>
            <w:hideMark/>
          </w:tcPr>
          <w:p w:rsidR="000E0FFA" w:rsidP="003E3077" w:rsidRDefault="000E0FFA" w14:paraId="67DBA605" w14:textId="77777777">
            <w:pPr>
              <w:rPr>
                <w:rFonts w:eastAsia="Times New Roman"/>
                <w:color w:val="000000"/>
                <w:sz w:val="20"/>
                <w:szCs w:val="20"/>
                <w:lang w:eastAsia="en-GB"/>
              </w:rPr>
            </w:pPr>
            <w:r w:rsidRPr="00FF4DCE">
              <w:rPr>
                <w:rFonts w:eastAsia="Times New Roman"/>
                <w:color w:val="000000"/>
                <w:sz w:val="20"/>
                <w:szCs w:val="20"/>
                <w:lang w:eastAsia="en-GB"/>
              </w:rPr>
              <w:t>GlobalEdge Business Risk</w:t>
            </w:r>
          </w:p>
          <w:p w:rsidRPr="00FF4DCE" w:rsidR="00EE463E" w:rsidP="003E3077" w:rsidRDefault="00EE463E" w14:paraId="005BE906" w14:textId="322C483A">
            <w:pPr>
              <w:rPr>
                <w:rFonts w:eastAsia="Times New Roman"/>
                <w:color w:val="000000"/>
                <w:sz w:val="20"/>
                <w:szCs w:val="20"/>
                <w:lang w:eastAsia="en-GB"/>
              </w:rPr>
            </w:pPr>
          </w:p>
        </w:tc>
        <w:tc>
          <w:tcPr>
            <w:tcW w:w="2268" w:type="dxa"/>
            <w:tcBorders>
              <w:top w:val="nil"/>
              <w:left w:val="nil"/>
              <w:bottom w:val="single" w:color="auto" w:sz="4" w:space="0"/>
              <w:right w:val="single" w:color="auto" w:sz="4" w:space="0"/>
            </w:tcBorders>
            <w:shd w:val="clear" w:color="auto" w:fill="auto"/>
            <w:vAlign w:val="center"/>
            <w:hideMark/>
          </w:tcPr>
          <w:p w:rsidRPr="00FF4DCE" w:rsidR="000E0FFA" w:rsidP="003E3077" w:rsidRDefault="000E0FFA" w14:paraId="61074E50" w14:textId="77777777">
            <w:pPr>
              <w:rPr>
                <w:rFonts w:eastAsia="Times New Roman"/>
                <w:color w:val="000000"/>
                <w:sz w:val="20"/>
                <w:szCs w:val="20"/>
                <w:lang w:eastAsia="en-GB"/>
              </w:rPr>
            </w:pPr>
            <w:r w:rsidRPr="00FF4DCE">
              <w:rPr>
                <w:rFonts w:eastAsia="Times New Roman"/>
                <w:color w:val="000000"/>
                <w:sz w:val="20"/>
                <w:szCs w:val="20"/>
                <w:lang w:eastAsia="en-GB"/>
              </w:rPr>
              <w:t>A1, A2, A3 and A4</w:t>
            </w:r>
          </w:p>
        </w:tc>
        <w:tc>
          <w:tcPr>
            <w:tcW w:w="2551" w:type="dxa"/>
            <w:tcBorders>
              <w:top w:val="nil"/>
              <w:left w:val="nil"/>
              <w:bottom w:val="single" w:color="auto" w:sz="4" w:space="0"/>
              <w:right w:val="single" w:color="auto" w:sz="4" w:space="0"/>
            </w:tcBorders>
            <w:shd w:val="clear" w:color="auto" w:fill="auto"/>
            <w:vAlign w:val="center"/>
            <w:hideMark/>
          </w:tcPr>
          <w:p w:rsidRPr="00FF4DCE" w:rsidR="000E0FFA" w:rsidP="003E3077" w:rsidRDefault="000E0FFA" w14:paraId="705449AC" w14:textId="77777777">
            <w:pPr>
              <w:rPr>
                <w:rFonts w:eastAsia="Times New Roman"/>
                <w:color w:val="000000"/>
                <w:sz w:val="20"/>
                <w:szCs w:val="20"/>
                <w:lang w:eastAsia="en-GB"/>
              </w:rPr>
            </w:pPr>
            <w:r w:rsidRPr="00FF4DCE">
              <w:rPr>
                <w:rFonts w:eastAsia="Times New Roman"/>
                <w:color w:val="000000"/>
                <w:sz w:val="20"/>
                <w:szCs w:val="20"/>
                <w:lang w:eastAsia="en-GB"/>
              </w:rPr>
              <w:t>B and C</w:t>
            </w:r>
          </w:p>
        </w:tc>
        <w:tc>
          <w:tcPr>
            <w:tcW w:w="2410" w:type="dxa"/>
            <w:tcBorders>
              <w:top w:val="nil"/>
              <w:left w:val="nil"/>
              <w:bottom w:val="single" w:color="auto" w:sz="4" w:space="0"/>
              <w:right w:val="single" w:color="auto" w:sz="4" w:space="0"/>
            </w:tcBorders>
            <w:shd w:val="clear" w:color="auto" w:fill="auto"/>
            <w:vAlign w:val="center"/>
            <w:hideMark/>
          </w:tcPr>
          <w:p w:rsidRPr="00FF4DCE" w:rsidR="000E0FFA" w:rsidP="003E3077" w:rsidRDefault="000E0FFA" w14:paraId="6C9B4850" w14:textId="77777777">
            <w:pPr>
              <w:rPr>
                <w:rFonts w:eastAsia="Times New Roman"/>
                <w:color w:val="000000"/>
                <w:sz w:val="20"/>
                <w:szCs w:val="20"/>
                <w:lang w:eastAsia="en-GB"/>
              </w:rPr>
            </w:pPr>
            <w:r w:rsidRPr="00FF4DCE">
              <w:rPr>
                <w:rFonts w:eastAsia="Times New Roman"/>
                <w:color w:val="000000"/>
                <w:sz w:val="20"/>
                <w:szCs w:val="20"/>
                <w:lang w:eastAsia="en-GB"/>
              </w:rPr>
              <w:t>D and E</w:t>
            </w:r>
          </w:p>
        </w:tc>
      </w:tr>
      <w:tr w:rsidRPr="00AB2FC3" w:rsidR="000E0FFA" w:rsidTr="00A75D98" w14:paraId="7BB402A9" w14:textId="77777777">
        <w:trPr>
          <w:trHeight w:val="288"/>
        </w:trPr>
        <w:tc>
          <w:tcPr>
            <w:tcW w:w="2127" w:type="dxa"/>
            <w:tcBorders>
              <w:top w:val="nil"/>
              <w:left w:val="single" w:color="auto" w:sz="4" w:space="0"/>
              <w:bottom w:val="single" w:color="auto" w:sz="4" w:space="0"/>
              <w:right w:val="single" w:color="auto" w:sz="4" w:space="0"/>
            </w:tcBorders>
            <w:shd w:val="clear" w:color="auto" w:fill="auto"/>
            <w:vAlign w:val="center"/>
            <w:hideMark/>
          </w:tcPr>
          <w:p w:rsidR="000E0FFA" w:rsidP="003E3077" w:rsidRDefault="000E0FFA" w14:paraId="43A2F385" w14:textId="77777777">
            <w:pPr>
              <w:rPr>
                <w:rFonts w:eastAsia="Times New Roman"/>
                <w:color w:val="000000"/>
                <w:sz w:val="20"/>
                <w:szCs w:val="20"/>
                <w:lang w:eastAsia="en-GB"/>
              </w:rPr>
            </w:pPr>
            <w:r w:rsidRPr="00FF4DCE">
              <w:rPr>
                <w:rFonts w:eastAsia="Times New Roman"/>
                <w:color w:val="000000"/>
                <w:sz w:val="20"/>
                <w:szCs w:val="20"/>
                <w:lang w:eastAsia="en-GB"/>
              </w:rPr>
              <w:t>Corruption Index</w:t>
            </w:r>
          </w:p>
          <w:p w:rsidR="00EE463E" w:rsidP="003E3077" w:rsidRDefault="00EE463E" w14:paraId="05F1E5A0" w14:textId="77777777">
            <w:pPr>
              <w:rPr>
                <w:rFonts w:eastAsia="Times New Roman"/>
                <w:color w:val="000000"/>
                <w:sz w:val="20"/>
                <w:szCs w:val="20"/>
                <w:lang w:eastAsia="en-GB"/>
              </w:rPr>
            </w:pPr>
          </w:p>
          <w:p w:rsidRPr="00FF4DCE" w:rsidR="00EE463E" w:rsidP="003E3077" w:rsidRDefault="00EE463E" w14:paraId="48990CCC" w14:textId="707CFC8F">
            <w:pPr>
              <w:rPr>
                <w:rFonts w:eastAsia="Times New Roman"/>
                <w:color w:val="000000"/>
                <w:sz w:val="20"/>
                <w:szCs w:val="20"/>
                <w:lang w:eastAsia="en-GB"/>
              </w:rPr>
            </w:pPr>
          </w:p>
        </w:tc>
        <w:tc>
          <w:tcPr>
            <w:tcW w:w="2268" w:type="dxa"/>
            <w:tcBorders>
              <w:top w:val="nil"/>
              <w:left w:val="nil"/>
              <w:bottom w:val="single" w:color="auto" w:sz="4" w:space="0"/>
              <w:right w:val="single" w:color="auto" w:sz="4" w:space="0"/>
            </w:tcBorders>
            <w:shd w:val="clear" w:color="auto" w:fill="auto"/>
            <w:vAlign w:val="center"/>
            <w:hideMark/>
          </w:tcPr>
          <w:p w:rsidRPr="00FF4DCE" w:rsidR="000E0FFA" w:rsidP="003E3077" w:rsidRDefault="000E0FFA" w14:paraId="328CD091" w14:textId="77777777">
            <w:pPr>
              <w:rPr>
                <w:rFonts w:eastAsia="Times New Roman"/>
                <w:color w:val="000000"/>
                <w:sz w:val="20"/>
                <w:szCs w:val="20"/>
                <w:lang w:eastAsia="en-GB"/>
              </w:rPr>
            </w:pPr>
            <w:r w:rsidRPr="00FF4DCE">
              <w:rPr>
                <w:rFonts w:eastAsia="Times New Roman"/>
                <w:color w:val="000000"/>
                <w:sz w:val="20"/>
                <w:szCs w:val="20"/>
                <w:lang w:eastAsia="en-GB"/>
              </w:rPr>
              <w:t>Over 55</w:t>
            </w:r>
          </w:p>
        </w:tc>
        <w:tc>
          <w:tcPr>
            <w:tcW w:w="2551" w:type="dxa"/>
            <w:tcBorders>
              <w:top w:val="nil"/>
              <w:left w:val="nil"/>
              <w:bottom w:val="single" w:color="auto" w:sz="4" w:space="0"/>
              <w:right w:val="single" w:color="auto" w:sz="4" w:space="0"/>
            </w:tcBorders>
            <w:shd w:val="clear" w:color="auto" w:fill="auto"/>
            <w:vAlign w:val="center"/>
            <w:hideMark/>
          </w:tcPr>
          <w:p w:rsidRPr="00FF4DCE" w:rsidR="000E0FFA" w:rsidP="003E3077" w:rsidRDefault="000E0FFA" w14:paraId="5F2A1813" w14:textId="77777777">
            <w:pPr>
              <w:rPr>
                <w:rFonts w:eastAsia="Times New Roman"/>
                <w:color w:val="000000"/>
                <w:sz w:val="20"/>
                <w:szCs w:val="20"/>
                <w:lang w:eastAsia="en-GB"/>
              </w:rPr>
            </w:pPr>
            <w:r w:rsidRPr="00FF4DCE">
              <w:rPr>
                <w:rFonts w:eastAsia="Times New Roman"/>
                <w:color w:val="000000"/>
                <w:sz w:val="20"/>
                <w:szCs w:val="20"/>
                <w:lang w:eastAsia="en-GB"/>
              </w:rPr>
              <w:t>34 - 55</w:t>
            </w:r>
          </w:p>
        </w:tc>
        <w:tc>
          <w:tcPr>
            <w:tcW w:w="2410" w:type="dxa"/>
            <w:tcBorders>
              <w:top w:val="nil"/>
              <w:left w:val="nil"/>
              <w:bottom w:val="single" w:color="auto" w:sz="4" w:space="0"/>
              <w:right w:val="single" w:color="auto" w:sz="4" w:space="0"/>
            </w:tcBorders>
            <w:shd w:val="clear" w:color="auto" w:fill="auto"/>
            <w:vAlign w:val="center"/>
            <w:hideMark/>
          </w:tcPr>
          <w:p w:rsidRPr="00FF4DCE" w:rsidR="000E0FFA" w:rsidP="003E3077" w:rsidRDefault="000E0FFA" w14:paraId="6CEA8317" w14:textId="77777777">
            <w:pPr>
              <w:rPr>
                <w:rFonts w:eastAsia="Times New Roman"/>
                <w:color w:val="000000"/>
                <w:sz w:val="20"/>
                <w:szCs w:val="20"/>
                <w:lang w:eastAsia="en-GB"/>
              </w:rPr>
            </w:pPr>
            <w:r w:rsidRPr="00FF4DCE">
              <w:rPr>
                <w:rFonts w:eastAsia="Times New Roman"/>
                <w:color w:val="000000"/>
                <w:sz w:val="20"/>
                <w:szCs w:val="20"/>
                <w:lang w:eastAsia="en-GB"/>
              </w:rPr>
              <w:t>33 and under</w:t>
            </w:r>
          </w:p>
        </w:tc>
      </w:tr>
      <w:tr w:rsidRPr="00AB2FC3" w:rsidR="000E0FFA" w:rsidTr="00A75D98" w14:paraId="6D6CEE91" w14:textId="77777777">
        <w:trPr>
          <w:trHeight w:val="828"/>
        </w:trPr>
        <w:tc>
          <w:tcPr>
            <w:tcW w:w="2127" w:type="dxa"/>
            <w:tcBorders>
              <w:top w:val="nil"/>
              <w:left w:val="single" w:color="auto" w:sz="4" w:space="0"/>
              <w:bottom w:val="single" w:color="auto" w:sz="4" w:space="0"/>
              <w:right w:val="single" w:color="auto" w:sz="4" w:space="0"/>
            </w:tcBorders>
            <w:shd w:val="clear" w:color="auto" w:fill="auto"/>
            <w:vAlign w:val="center"/>
            <w:hideMark/>
          </w:tcPr>
          <w:p w:rsidRPr="00FF4DCE" w:rsidR="000E0FFA" w:rsidP="003E3077" w:rsidRDefault="000E0FFA" w14:paraId="43D71098" w14:textId="77777777">
            <w:pPr>
              <w:rPr>
                <w:rFonts w:eastAsia="Times New Roman"/>
                <w:color w:val="000000"/>
                <w:sz w:val="20"/>
                <w:szCs w:val="20"/>
                <w:lang w:eastAsia="en-GB"/>
              </w:rPr>
            </w:pPr>
            <w:r w:rsidRPr="00FF4DCE">
              <w:rPr>
                <w:rFonts w:eastAsia="Times New Roman"/>
                <w:color w:val="000000"/>
                <w:sz w:val="20"/>
                <w:szCs w:val="20"/>
                <w:lang w:eastAsia="en-GB"/>
              </w:rPr>
              <w:t>Organisation Legal Status</w:t>
            </w:r>
          </w:p>
        </w:tc>
        <w:tc>
          <w:tcPr>
            <w:tcW w:w="2268" w:type="dxa"/>
            <w:tcBorders>
              <w:top w:val="nil"/>
              <w:left w:val="nil"/>
              <w:bottom w:val="single" w:color="auto" w:sz="4" w:space="0"/>
              <w:right w:val="single" w:color="auto" w:sz="4" w:space="0"/>
            </w:tcBorders>
            <w:shd w:val="clear" w:color="auto" w:fill="auto"/>
            <w:vAlign w:val="center"/>
            <w:hideMark/>
          </w:tcPr>
          <w:p w:rsidRPr="00FF4DCE" w:rsidR="000E0FFA" w:rsidP="003E3077" w:rsidRDefault="000E0FFA" w14:paraId="2CA47328" w14:textId="77777777">
            <w:pPr>
              <w:rPr>
                <w:rFonts w:eastAsia="Times New Roman"/>
                <w:color w:val="000000"/>
                <w:sz w:val="20"/>
                <w:szCs w:val="20"/>
                <w:lang w:eastAsia="en-GB"/>
              </w:rPr>
            </w:pPr>
            <w:r w:rsidRPr="00FF4DCE">
              <w:rPr>
                <w:rFonts w:eastAsia="Times New Roman"/>
                <w:color w:val="000000"/>
                <w:sz w:val="20"/>
                <w:szCs w:val="20"/>
                <w:lang w:eastAsia="en-GB"/>
              </w:rPr>
              <w:t>Public sector/HEI or Govt body</w:t>
            </w:r>
          </w:p>
        </w:tc>
        <w:tc>
          <w:tcPr>
            <w:tcW w:w="2551" w:type="dxa"/>
            <w:tcBorders>
              <w:top w:val="nil"/>
              <w:left w:val="nil"/>
              <w:bottom w:val="single" w:color="auto" w:sz="4" w:space="0"/>
              <w:right w:val="single" w:color="auto" w:sz="4" w:space="0"/>
            </w:tcBorders>
            <w:shd w:val="clear" w:color="auto" w:fill="auto"/>
            <w:vAlign w:val="center"/>
            <w:hideMark/>
          </w:tcPr>
          <w:p w:rsidRPr="00FF4DCE" w:rsidR="000E0FFA" w:rsidP="003E3077" w:rsidRDefault="000E0FFA" w14:paraId="3BE29A80" w14:textId="77777777">
            <w:pPr>
              <w:rPr>
                <w:rFonts w:eastAsia="Times New Roman"/>
                <w:color w:val="000000"/>
                <w:sz w:val="20"/>
                <w:szCs w:val="20"/>
                <w:lang w:eastAsia="en-GB"/>
              </w:rPr>
            </w:pPr>
            <w:r w:rsidRPr="00FF4DCE">
              <w:rPr>
                <w:rFonts w:eastAsia="Times New Roman"/>
                <w:color w:val="000000"/>
                <w:sz w:val="20"/>
                <w:szCs w:val="20"/>
                <w:lang w:eastAsia="en-GB"/>
              </w:rPr>
              <w:t>Private sector organisation with audited financial accounts</w:t>
            </w:r>
          </w:p>
        </w:tc>
        <w:tc>
          <w:tcPr>
            <w:tcW w:w="2410" w:type="dxa"/>
            <w:tcBorders>
              <w:top w:val="nil"/>
              <w:left w:val="nil"/>
              <w:bottom w:val="single" w:color="auto" w:sz="4" w:space="0"/>
              <w:right w:val="single" w:color="auto" w:sz="4" w:space="0"/>
            </w:tcBorders>
            <w:shd w:val="clear" w:color="auto" w:fill="auto"/>
            <w:vAlign w:val="center"/>
            <w:hideMark/>
          </w:tcPr>
          <w:p w:rsidRPr="00FF4DCE" w:rsidR="000E0FFA" w:rsidP="003E3077" w:rsidRDefault="000E0FFA" w14:paraId="7F4DF996" w14:textId="77777777">
            <w:pPr>
              <w:rPr>
                <w:rFonts w:eastAsia="Times New Roman"/>
                <w:color w:val="000000"/>
                <w:sz w:val="20"/>
                <w:szCs w:val="20"/>
                <w:lang w:eastAsia="en-GB"/>
              </w:rPr>
            </w:pPr>
            <w:r w:rsidRPr="00FF4DCE">
              <w:rPr>
                <w:rFonts w:eastAsia="Times New Roman"/>
                <w:color w:val="000000"/>
                <w:sz w:val="20"/>
                <w:szCs w:val="20"/>
                <w:lang w:eastAsia="en-GB"/>
              </w:rPr>
              <w:t>Private sector organisation without audited accounts or unknown</w:t>
            </w:r>
          </w:p>
        </w:tc>
      </w:tr>
      <w:tr w:rsidRPr="00AB2FC3" w:rsidR="000E0FFA" w:rsidTr="00A75D98" w14:paraId="0D86F967" w14:textId="77777777">
        <w:trPr>
          <w:trHeight w:val="1380"/>
        </w:trPr>
        <w:tc>
          <w:tcPr>
            <w:tcW w:w="2127" w:type="dxa"/>
            <w:tcBorders>
              <w:top w:val="nil"/>
              <w:left w:val="single" w:color="auto" w:sz="4" w:space="0"/>
              <w:bottom w:val="single" w:color="auto" w:sz="4" w:space="0"/>
              <w:right w:val="single" w:color="auto" w:sz="4" w:space="0"/>
            </w:tcBorders>
            <w:shd w:val="clear" w:color="auto" w:fill="auto"/>
            <w:vAlign w:val="center"/>
            <w:hideMark/>
          </w:tcPr>
          <w:p w:rsidRPr="00FF4DCE" w:rsidR="000E0FFA" w:rsidP="003E3077" w:rsidRDefault="000E0FFA" w14:paraId="07093348" w14:textId="77777777">
            <w:pPr>
              <w:rPr>
                <w:rFonts w:eastAsia="Times New Roman"/>
                <w:color w:val="000000"/>
                <w:sz w:val="20"/>
                <w:szCs w:val="20"/>
                <w:lang w:eastAsia="en-GB"/>
              </w:rPr>
            </w:pPr>
            <w:r w:rsidRPr="00FF4DCE">
              <w:rPr>
                <w:rFonts w:eastAsia="Times New Roman"/>
                <w:color w:val="000000"/>
                <w:sz w:val="20"/>
                <w:szCs w:val="20"/>
                <w:lang w:eastAsia="en-GB"/>
              </w:rPr>
              <w:t>Sub-contracting arrangements</w:t>
            </w:r>
          </w:p>
        </w:tc>
        <w:tc>
          <w:tcPr>
            <w:tcW w:w="2268" w:type="dxa"/>
            <w:tcBorders>
              <w:top w:val="nil"/>
              <w:left w:val="nil"/>
              <w:bottom w:val="single" w:color="auto" w:sz="4" w:space="0"/>
              <w:right w:val="single" w:color="auto" w:sz="4" w:space="0"/>
            </w:tcBorders>
            <w:shd w:val="clear" w:color="auto" w:fill="auto"/>
            <w:vAlign w:val="center"/>
            <w:hideMark/>
          </w:tcPr>
          <w:p w:rsidRPr="00FF4DCE" w:rsidR="000E0FFA" w:rsidP="003E3077" w:rsidRDefault="000E0FFA" w14:paraId="0700F55A" w14:textId="77777777">
            <w:pPr>
              <w:rPr>
                <w:rFonts w:eastAsia="Times New Roman"/>
                <w:color w:val="000000"/>
                <w:sz w:val="20"/>
                <w:szCs w:val="20"/>
                <w:lang w:eastAsia="en-GB"/>
              </w:rPr>
            </w:pPr>
            <w:r w:rsidRPr="00FF4DCE">
              <w:rPr>
                <w:rFonts w:eastAsia="Times New Roman"/>
                <w:color w:val="000000"/>
                <w:sz w:val="20"/>
                <w:szCs w:val="20"/>
                <w:lang w:eastAsia="en-GB"/>
              </w:rPr>
              <w:t>None or to UK HEIs/ROs and equivalent organisations in countries with low risk on corruption</w:t>
            </w:r>
          </w:p>
        </w:tc>
        <w:tc>
          <w:tcPr>
            <w:tcW w:w="2551" w:type="dxa"/>
            <w:tcBorders>
              <w:top w:val="nil"/>
              <w:left w:val="nil"/>
              <w:bottom w:val="single" w:color="auto" w:sz="4" w:space="0"/>
              <w:right w:val="single" w:color="auto" w:sz="4" w:space="0"/>
            </w:tcBorders>
            <w:shd w:val="clear" w:color="auto" w:fill="auto"/>
            <w:vAlign w:val="center"/>
            <w:hideMark/>
          </w:tcPr>
          <w:p w:rsidRPr="00FF4DCE" w:rsidR="000E0FFA" w:rsidP="003E3077" w:rsidRDefault="000E0FFA" w14:paraId="4AD126E8" w14:textId="77777777">
            <w:pPr>
              <w:rPr>
                <w:rFonts w:eastAsia="Times New Roman"/>
                <w:color w:val="000000"/>
                <w:sz w:val="20"/>
                <w:szCs w:val="20"/>
                <w:lang w:eastAsia="en-GB"/>
              </w:rPr>
            </w:pPr>
            <w:r w:rsidRPr="00FF4DCE">
              <w:rPr>
                <w:rFonts w:eastAsia="Times New Roman"/>
                <w:color w:val="000000"/>
                <w:sz w:val="20"/>
                <w:szCs w:val="20"/>
                <w:lang w:eastAsia="en-GB"/>
              </w:rPr>
              <w:t>Organisations in countries with medium risk on corruption index</w:t>
            </w:r>
          </w:p>
        </w:tc>
        <w:tc>
          <w:tcPr>
            <w:tcW w:w="2410" w:type="dxa"/>
            <w:tcBorders>
              <w:top w:val="nil"/>
              <w:left w:val="nil"/>
              <w:bottom w:val="single" w:color="auto" w:sz="4" w:space="0"/>
              <w:right w:val="single" w:color="auto" w:sz="4" w:space="0"/>
            </w:tcBorders>
            <w:shd w:val="clear" w:color="auto" w:fill="auto"/>
            <w:vAlign w:val="center"/>
            <w:hideMark/>
          </w:tcPr>
          <w:p w:rsidRPr="00FF4DCE" w:rsidR="000E0FFA" w:rsidP="003E3077" w:rsidRDefault="000E0FFA" w14:paraId="54CE685F" w14:textId="77777777">
            <w:pPr>
              <w:rPr>
                <w:rFonts w:eastAsia="Times New Roman"/>
                <w:color w:val="000000"/>
                <w:sz w:val="20"/>
                <w:szCs w:val="20"/>
                <w:lang w:eastAsia="en-GB"/>
              </w:rPr>
            </w:pPr>
            <w:r w:rsidRPr="00FF4DCE">
              <w:rPr>
                <w:rFonts w:eastAsia="Times New Roman"/>
                <w:color w:val="000000"/>
                <w:sz w:val="20"/>
                <w:szCs w:val="20"/>
                <w:lang w:eastAsia="en-GB"/>
              </w:rPr>
              <w:t>Organisations in countries with high score on corruption index or unknown</w:t>
            </w:r>
          </w:p>
        </w:tc>
      </w:tr>
      <w:tr w:rsidRPr="00AB2FC3" w:rsidR="000E0FFA" w:rsidTr="00A75D98" w14:paraId="01E23F8E" w14:textId="77777777">
        <w:trPr>
          <w:trHeight w:val="552"/>
        </w:trPr>
        <w:tc>
          <w:tcPr>
            <w:tcW w:w="2127" w:type="dxa"/>
            <w:tcBorders>
              <w:top w:val="nil"/>
              <w:left w:val="single" w:color="auto" w:sz="4" w:space="0"/>
              <w:bottom w:val="single" w:color="auto" w:sz="4" w:space="0"/>
              <w:right w:val="single" w:color="auto" w:sz="4" w:space="0"/>
            </w:tcBorders>
            <w:shd w:val="clear" w:color="auto" w:fill="auto"/>
            <w:vAlign w:val="center"/>
            <w:hideMark/>
          </w:tcPr>
          <w:p w:rsidRPr="00FF4DCE" w:rsidR="000E0FFA" w:rsidP="003E3077" w:rsidRDefault="000E0FFA" w14:paraId="0E1AA5AF" w14:textId="77777777">
            <w:pPr>
              <w:rPr>
                <w:rFonts w:eastAsia="Times New Roman"/>
                <w:color w:val="000000"/>
                <w:sz w:val="20"/>
                <w:szCs w:val="20"/>
                <w:lang w:eastAsia="en-GB"/>
              </w:rPr>
            </w:pPr>
            <w:r w:rsidRPr="00FF4DCE">
              <w:rPr>
                <w:rFonts w:eastAsia="Times New Roman"/>
                <w:color w:val="000000"/>
                <w:sz w:val="20"/>
                <w:szCs w:val="20"/>
                <w:lang w:eastAsia="en-GB"/>
              </w:rPr>
              <w:t>Issues with potential to impact project completion</w:t>
            </w:r>
          </w:p>
        </w:tc>
        <w:tc>
          <w:tcPr>
            <w:tcW w:w="2268" w:type="dxa"/>
            <w:tcBorders>
              <w:top w:val="nil"/>
              <w:left w:val="nil"/>
              <w:bottom w:val="single" w:color="auto" w:sz="4" w:space="0"/>
              <w:right w:val="single" w:color="auto" w:sz="4" w:space="0"/>
            </w:tcBorders>
            <w:shd w:val="clear" w:color="auto" w:fill="auto"/>
            <w:vAlign w:val="center"/>
            <w:hideMark/>
          </w:tcPr>
          <w:p w:rsidRPr="00FF4DCE" w:rsidR="000E0FFA" w:rsidP="003E3077" w:rsidRDefault="000E0FFA" w14:paraId="2F52E612" w14:textId="77777777">
            <w:pPr>
              <w:rPr>
                <w:rFonts w:eastAsia="Times New Roman"/>
                <w:color w:val="000000"/>
                <w:sz w:val="20"/>
                <w:szCs w:val="20"/>
                <w:lang w:eastAsia="en-GB"/>
              </w:rPr>
            </w:pPr>
            <w:r w:rsidRPr="00FF4DCE">
              <w:rPr>
                <w:rFonts w:eastAsia="Times New Roman"/>
                <w:color w:val="000000"/>
                <w:sz w:val="20"/>
                <w:szCs w:val="20"/>
                <w:lang w:eastAsia="en-GB"/>
              </w:rPr>
              <w:t>No</w:t>
            </w:r>
          </w:p>
        </w:tc>
        <w:tc>
          <w:tcPr>
            <w:tcW w:w="2551" w:type="dxa"/>
            <w:tcBorders>
              <w:top w:val="nil"/>
              <w:left w:val="nil"/>
              <w:bottom w:val="single" w:color="auto" w:sz="4" w:space="0"/>
              <w:right w:val="single" w:color="auto" w:sz="4" w:space="0"/>
            </w:tcBorders>
            <w:shd w:val="clear" w:color="auto" w:fill="auto"/>
            <w:vAlign w:val="center"/>
            <w:hideMark/>
          </w:tcPr>
          <w:p w:rsidRPr="00FF4DCE" w:rsidR="000E0FFA" w:rsidP="003E3077" w:rsidRDefault="000E0FFA" w14:paraId="1A50FC8F" w14:textId="77777777">
            <w:pPr>
              <w:rPr>
                <w:rFonts w:eastAsia="Times New Roman"/>
                <w:color w:val="000000"/>
                <w:sz w:val="20"/>
                <w:szCs w:val="20"/>
                <w:lang w:eastAsia="en-GB"/>
              </w:rPr>
            </w:pPr>
            <w:r w:rsidRPr="00FF4DCE">
              <w:rPr>
                <w:rFonts w:eastAsia="Times New Roman"/>
                <w:color w:val="000000"/>
                <w:sz w:val="20"/>
                <w:szCs w:val="20"/>
                <w:lang w:eastAsia="en-GB"/>
              </w:rPr>
              <w:t>Yes, more than 3 months ago and issue now resolved</w:t>
            </w:r>
          </w:p>
        </w:tc>
        <w:tc>
          <w:tcPr>
            <w:tcW w:w="2410" w:type="dxa"/>
            <w:tcBorders>
              <w:top w:val="nil"/>
              <w:left w:val="nil"/>
              <w:bottom w:val="single" w:color="auto" w:sz="4" w:space="0"/>
              <w:right w:val="single" w:color="auto" w:sz="4" w:space="0"/>
            </w:tcBorders>
            <w:shd w:val="clear" w:color="auto" w:fill="auto"/>
            <w:vAlign w:val="center"/>
            <w:hideMark/>
          </w:tcPr>
          <w:p w:rsidRPr="00FF4DCE" w:rsidR="000E0FFA" w:rsidP="003E3077" w:rsidRDefault="000E0FFA" w14:paraId="2FF5C062" w14:textId="77777777">
            <w:pPr>
              <w:rPr>
                <w:rFonts w:eastAsia="Times New Roman"/>
                <w:color w:val="000000"/>
                <w:sz w:val="20"/>
                <w:szCs w:val="20"/>
                <w:lang w:eastAsia="en-GB"/>
              </w:rPr>
            </w:pPr>
            <w:r w:rsidRPr="00FF4DCE">
              <w:rPr>
                <w:rFonts w:eastAsia="Times New Roman"/>
                <w:color w:val="000000"/>
                <w:sz w:val="20"/>
                <w:szCs w:val="20"/>
                <w:lang w:eastAsia="en-GB"/>
              </w:rPr>
              <w:t>Yes, in the last 3 months and/or ongoing</w:t>
            </w:r>
          </w:p>
        </w:tc>
      </w:tr>
      <w:tr w:rsidRPr="00AB2FC3" w:rsidR="000E0FFA" w:rsidTr="00A75D98" w14:paraId="4F4D6B67" w14:textId="77777777">
        <w:trPr>
          <w:trHeight w:val="896"/>
        </w:trPr>
        <w:tc>
          <w:tcPr>
            <w:tcW w:w="2127" w:type="dxa"/>
            <w:tcBorders>
              <w:top w:val="nil"/>
              <w:left w:val="single" w:color="auto" w:sz="4" w:space="0"/>
              <w:bottom w:val="single" w:color="auto" w:sz="4" w:space="0"/>
              <w:right w:val="single" w:color="auto" w:sz="4" w:space="0"/>
            </w:tcBorders>
            <w:shd w:val="clear" w:color="auto" w:fill="auto"/>
            <w:vAlign w:val="center"/>
            <w:hideMark/>
          </w:tcPr>
          <w:p w:rsidRPr="00FF4DCE" w:rsidR="000E0FFA" w:rsidP="003E3077" w:rsidRDefault="000E0FFA" w14:paraId="5FACD6CB" w14:textId="77777777">
            <w:pPr>
              <w:rPr>
                <w:rFonts w:eastAsia="Times New Roman"/>
                <w:color w:val="000000"/>
                <w:sz w:val="20"/>
                <w:szCs w:val="20"/>
                <w:lang w:eastAsia="en-GB"/>
              </w:rPr>
            </w:pPr>
            <w:r w:rsidRPr="00FF4DCE">
              <w:rPr>
                <w:rFonts w:eastAsia="Times New Roman"/>
                <w:color w:val="000000"/>
                <w:sz w:val="20"/>
                <w:szCs w:val="20"/>
                <w:lang w:eastAsia="en-GB"/>
              </w:rPr>
              <w:t>Reputational risk</w:t>
            </w:r>
          </w:p>
        </w:tc>
        <w:tc>
          <w:tcPr>
            <w:tcW w:w="2268" w:type="dxa"/>
            <w:tcBorders>
              <w:top w:val="nil"/>
              <w:left w:val="nil"/>
              <w:bottom w:val="single" w:color="auto" w:sz="4" w:space="0"/>
              <w:right w:val="single" w:color="auto" w:sz="4" w:space="0"/>
            </w:tcBorders>
            <w:shd w:val="clear" w:color="auto" w:fill="auto"/>
            <w:vAlign w:val="center"/>
            <w:hideMark/>
          </w:tcPr>
          <w:p w:rsidRPr="00FF4DCE" w:rsidR="000E0FFA" w:rsidP="003E3077" w:rsidRDefault="000E0FFA" w14:paraId="04B90A09" w14:textId="77777777">
            <w:pPr>
              <w:rPr>
                <w:rFonts w:eastAsia="Times New Roman"/>
                <w:color w:val="000000"/>
                <w:sz w:val="20"/>
                <w:szCs w:val="20"/>
                <w:lang w:eastAsia="en-GB"/>
              </w:rPr>
            </w:pPr>
            <w:r w:rsidRPr="00FF4DCE">
              <w:rPr>
                <w:rFonts w:eastAsia="Times New Roman"/>
                <w:color w:val="000000"/>
                <w:sz w:val="20"/>
                <w:szCs w:val="20"/>
                <w:lang w:eastAsia="en-GB"/>
              </w:rPr>
              <w:t>Unlikely - not flagged by PI or RDO</w:t>
            </w:r>
          </w:p>
        </w:tc>
        <w:tc>
          <w:tcPr>
            <w:tcW w:w="2551" w:type="dxa"/>
            <w:tcBorders>
              <w:top w:val="nil"/>
              <w:left w:val="nil"/>
              <w:bottom w:val="single" w:color="auto" w:sz="4" w:space="0"/>
              <w:right w:val="single" w:color="auto" w:sz="4" w:space="0"/>
            </w:tcBorders>
            <w:shd w:val="clear" w:color="000000" w:fill="D9D9D9"/>
            <w:vAlign w:val="bottom"/>
            <w:hideMark/>
          </w:tcPr>
          <w:p w:rsidRPr="00FF4DCE" w:rsidR="000E0FFA" w:rsidP="003E3077" w:rsidRDefault="000E0FFA" w14:paraId="49C2AF0B" w14:textId="77777777">
            <w:pPr>
              <w:rPr>
                <w:rFonts w:eastAsia="Times New Roman"/>
                <w:color w:val="000000"/>
                <w:sz w:val="20"/>
                <w:szCs w:val="20"/>
                <w:lang w:eastAsia="en-GB"/>
              </w:rPr>
            </w:pPr>
            <w:r w:rsidRPr="00FF4DCE">
              <w:rPr>
                <w:rFonts w:eastAsia="Times New Roman"/>
                <w:color w:val="000000"/>
                <w:sz w:val="20"/>
                <w:szCs w:val="20"/>
                <w:lang w:eastAsia="en-GB"/>
              </w:rPr>
              <w:t> </w:t>
            </w:r>
          </w:p>
        </w:tc>
        <w:tc>
          <w:tcPr>
            <w:tcW w:w="2410" w:type="dxa"/>
            <w:tcBorders>
              <w:top w:val="nil"/>
              <w:left w:val="nil"/>
              <w:bottom w:val="single" w:color="auto" w:sz="4" w:space="0"/>
              <w:right w:val="single" w:color="auto" w:sz="4" w:space="0"/>
            </w:tcBorders>
            <w:shd w:val="clear" w:color="auto" w:fill="auto"/>
            <w:vAlign w:val="bottom"/>
            <w:hideMark/>
          </w:tcPr>
          <w:p w:rsidRPr="00FF4DCE" w:rsidR="000E0FFA" w:rsidP="003E3077" w:rsidRDefault="000E0FFA" w14:paraId="4CC2268A" w14:textId="68F88D89">
            <w:pPr>
              <w:rPr>
                <w:rFonts w:eastAsia="Times New Roman"/>
                <w:color w:val="000000"/>
                <w:sz w:val="20"/>
                <w:szCs w:val="20"/>
                <w:lang w:eastAsia="en-GB"/>
              </w:rPr>
            </w:pPr>
            <w:r w:rsidRPr="00FF4DCE">
              <w:rPr>
                <w:rFonts w:eastAsia="Times New Roman"/>
                <w:color w:val="000000"/>
                <w:sz w:val="20"/>
                <w:szCs w:val="20"/>
                <w:lang w:eastAsia="en-GB"/>
              </w:rPr>
              <w:t xml:space="preserve">Links to </w:t>
            </w:r>
            <w:r w:rsidR="00E23518">
              <w:rPr>
                <w:rFonts w:eastAsia="Times New Roman"/>
                <w:color w:val="000000"/>
                <w:sz w:val="20"/>
                <w:szCs w:val="20"/>
                <w:lang w:eastAsia="en-GB"/>
              </w:rPr>
              <w:t xml:space="preserve">military,  </w:t>
            </w:r>
            <w:r w:rsidRPr="00FF4DCE">
              <w:rPr>
                <w:rFonts w:eastAsia="Times New Roman"/>
                <w:color w:val="000000"/>
                <w:sz w:val="20"/>
                <w:szCs w:val="20"/>
                <w:lang w:eastAsia="en-GB"/>
              </w:rPr>
              <w:t>hostile state</w:t>
            </w:r>
            <w:r w:rsidR="00E23518">
              <w:rPr>
                <w:rFonts w:eastAsia="Times New Roman"/>
                <w:color w:val="000000"/>
                <w:sz w:val="20"/>
                <w:szCs w:val="20"/>
                <w:lang w:eastAsia="en-GB"/>
              </w:rPr>
              <w:t xml:space="preserve">, </w:t>
            </w:r>
            <w:r w:rsidRPr="00FF4DCE">
              <w:rPr>
                <w:rFonts w:eastAsia="Times New Roman"/>
                <w:color w:val="000000"/>
                <w:sz w:val="20"/>
                <w:szCs w:val="20"/>
                <w:lang w:eastAsia="en-GB"/>
              </w:rPr>
              <w:t xml:space="preserve"> </w:t>
            </w:r>
            <w:r w:rsidR="00E23518">
              <w:rPr>
                <w:rFonts w:eastAsia="Times New Roman"/>
                <w:color w:val="000000"/>
                <w:sz w:val="20"/>
                <w:szCs w:val="20"/>
                <w:lang w:eastAsia="en-GB"/>
              </w:rPr>
              <w:t xml:space="preserve">individuals with significant control, </w:t>
            </w:r>
            <w:r w:rsidRPr="00FF4DCE">
              <w:rPr>
                <w:rFonts w:eastAsia="Times New Roman"/>
                <w:color w:val="000000"/>
                <w:sz w:val="20"/>
                <w:szCs w:val="20"/>
                <w:lang w:eastAsia="en-GB"/>
              </w:rPr>
              <w:t>or flagged by PI/RDO for other reason</w:t>
            </w:r>
          </w:p>
        </w:tc>
      </w:tr>
    </w:tbl>
    <w:p w:rsidR="00EE463E" w:rsidP="00A75D98" w:rsidRDefault="00EE463E" w14:paraId="1DBC83D1" w14:textId="77777777">
      <w:pPr>
        <w:rPr>
          <w:b/>
          <w:lang w:eastAsia="en-GB"/>
        </w:rPr>
      </w:pPr>
    </w:p>
    <w:p w:rsidRPr="00FF4DCE" w:rsidR="000E0FFA" w:rsidP="00A75D98" w:rsidRDefault="00A75D98" w14:paraId="681E1E24" w14:textId="2B094583">
      <w:pPr>
        <w:rPr>
          <w:b/>
          <w:lang w:eastAsia="en-GB"/>
        </w:rPr>
      </w:pPr>
      <w:r>
        <w:rPr>
          <w:b/>
          <w:lang w:eastAsia="en-GB"/>
        </w:rPr>
        <w:lastRenderedPageBreak/>
        <w:t xml:space="preserve">2.2 </w:t>
      </w:r>
      <w:r w:rsidRPr="00FF4DCE" w:rsidR="000E0FFA">
        <w:rPr>
          <w:b/>
          <w:lang w:eastAsia="en-GB"/>
        </w:rPr>
        <w:t>Action Table</w:t>
      </w:r>
    </w:p>
    <w:tbl>
      <w:tblPr>
        <w:tblW w:w="9356" w:type="dxa"/>
        <w:tblInd w:w="-5" w:type="dxa"/>
        <w:tblLook w:val="04A0" w:firstRow="1" w:lastRow="0" w:firstColumn="1" w:lastColumn="0" w:noHBand="0" w:noVBand="1"/>
      </w:tblPr>
      <w:tblGrid>
        <w:gridCol w:w="2127"/>
        <w:gridCol w:w="2268"/>
        <w:gridCol w:w="2551"/>
        <w:gridCol w:w="2410"/>
      </w:tblGrid>
      <w:tr w:rsidRPr="00AB2FC3" w:rsidR="000E0FFA" w:rsidTr="00A75D98" w14:paraId="57C669BC" w14:textId="77777777">
        <w:trPr>
          <w:trHeight w:val="300"/>
        </w:trPr>
        <w:tc>
          <w:tcPr>
            <w:tcW w:w="2127"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AB2FC3" w:rsidR="000E0FFA" w:rsidP="003E3077" w:rsidRDefault="000E0FFA" w14:paraId="66772F1B" w14:textId="77777777">
            <w:pPr>
              <w:rPr>
                <w:rFonts w:eastAsia="Times New Roman"/>
                <w:b/>
                <w:bCs/>
                <w:color w:val="000000"/>
                <w:sz w:val="20"/>
                <w:szCs w:val="20"/>
                <w:lang w:eastAsia="en-GB"/>
              </w:rPr>
            </w:pPr>
            <w:r w:rsidRPr="00AB2FC3">
              <w:rPr>
                <w:rFonts w:eastAsia="Times New Roman"/>
                <w:b/>
                <w:bCs/>
                <w:color w:val="000000"/>
                <w:sz w:val="20"/>
                <w:lang w:eastAsia="en-GB"/>
              </w:rPr>
              <w:t xml:space="preserve">Overall Score </w:t>
            </w:r>
            <w:r>
              <w:rPr>
                <w:rFonts w:eastAsia="Times New Roman"/>
                <w:b/>
                <w:bCs/>
                <w:color w:val="000000"/>
                <w:sz w:val="20"/>
                <w:lang w:eastAsia="en-GB"/>
              </w:rPr>
              <w:t>=</w:t>
            </w:r>
          </w:p>
        </w:tc>
        <w:tc>
          <w:tcPr>
            <w:tcW w:w="2268" w:type="dxa"/>
            <w:tcBorders>
              <w:top w:val="single" w:color="000000" w:sz="8" w:space="0"/>
              <w:left w:val="nil"/>
              <w:bottom w:val="single" w:color="000000" w:sz="8" w:space="0"/>
              <w:right w:val="single" w:color="000000" w:sz="8" w:space="0"/>
            </w:tcBorders>
            <w:shd w:val="clear" w:color="000000" w:fill="D9D9D9"/>
            <w:vAlign w:val="center"/>
            <w:hideMark/>
          </w:tcPr>
          <w:p w:rsidRPr="00AB2FC3" w:rsidR="000E0FFA" w:rsidP="003E3077" w:rsidRDefault="000E0FFA" w14:paraId="05570B75" w14:textId="77777777">
            <w:pPr>
              <w:jc w:val="center"/>
              <w:rPr>
                <w:rFonts w:eastAsia="Times New Roman"/>
                <w:b/>
                <w:bCs/>
                <w:color w:val="000000"/>
                <w:sz w:val="20"/>
                <w:szCs w:val="20"/>
                <w:lang w:eastAsia="en-GB"/>
              </w:rPr>
            </w:pPr>
            <w:r w:rsidRPr="00AB2FC3">
              <w:rPr>
                <w:rFonts w:eastAsia="Times New Roman"/>
                <w:b/>
                <w:bCs/>
                <w:color w:val="000000"/>
                <w:sz w:val="20"/>
                <w:lang w:eastAsia="en-GB"/>
              </w:rPr>
              <w:t>8 to 10</w:t>
            </w:r>
          </w:p>
        </w:tc>
        <w:tc>
          <w:tcPr>
            <w:tcW w:w="2551" w:type="dxa"/>
            <w:tcBorders>
              <w:top w:val="single" w:color="000000" w:sz="8" w:space="0"/>
              <w:left w:val="nil"/>
              <w:bottom w:val="single" w:color="000000" w:sz="8" w:space="0"/>
              <w:right w:val="single" w:color="000000" w:sz="8" w:space="0"/>
            </w:tcBorders>
            <w:shd w:val="clear" w:color="000000" w:fill="D9D9D9"/>
            <w:vAlign w:val="center"/>
            <w:hideMark/>
          </w:tcPr>
          <w:p w:rsidRPr="00AB2FC3" w:rsidR="000E0FFA" w:rsidP="003E3077" w:rsidRDefault="000E0FFA" w14:paraId="775F4983" w14:textId="77777777">
            <w:pPr>
              <w:jc w:val="center"/>
              <w:rPr>
                <w:rFonts w:eastAsia="Times New Roman"/>
                <w:b/>
                <w:bCs/>
                <w:color w:val="000000"/>
                <w:sz w:val="20"/>
                <w:szCs w:val="20"/>
                <w:lang w:eastAsia="en-GB"/>
              </w:rPr>
            </w:pPr>
            <w:r w:rsidRPr="00AB2FC3">
              <w:rPr>
                <w:rFonts w:eastAsia="Times New Roman"/>
                <w:b/>
                <w:bCs/>
                <w:color w:val="000000"/>
                <w:sz w:val="20"/>
                <w:lang w:eastAsia="en-GB"/>
              </w:rPr>
              <w:t>11 to 15</w:t>
            </w:r>
          </w:p>
        </w:tc>
        <w:tc>
          <w:tcPr>
            <w:tcW w:w="2410" w:type="dxa"/>
            <w:tcBorders>
              <w:top w:val="single" w:color="000000" w:sz="8" w:space="0"/>
              <w:left w:val="nil"/>
              <w:bottom w:val="single" w:color="000000" w:sz="8" w:space="0"/>
              <w:right w:val="single" w:color="000000" w:sz="8" w:space="0"/>
            </w:tcBorders>
            <w:shd w:val="clear" w:color="000000" w:fill="D9D9D9"/>
            <w:vAlign w:val="center"/>
            <w:hideMark/>
          </w:tcPr>
          <w:p w:rsidRPr="00AB2FC3" w:rsidR="000E0FFA" w:rsidP="003E3077" w:rsidRDefault="000E0FFA" w14:paraId="1D9427C5" w14:textId="77777777">
            <w:pPr>
              <w:jc w:val="center"/>
              <w:rPr>
                <w:rFonts w:eastAsia="Times New Roman"/>
                <w:b/>
                <w:bCs/>
                <w:color w:val="000000"/>
                <w:sz w:val="20"/>
                <w:szCs w:val="20"/>
                <w:lang w:eastAsia="en-GB"/>
              </w:rPr>
            </w:pPr>
            <w:r w:rsidRPr="00AB2FC3">
              <w:rPr>
                <w:rFonts w:eastAsia="Times New Roman"/>
                <w:b/>
                <w:bCs/>
                <w:color w:val="000000"/>
                <w:sz w:val="20"/>
                <w:lang w:eastAsia="en-GB"/>
              </w:rPr>
              <w:t>15 to 24</w:t>
            </w:r>
          </w:p>
        </w:tc>
      </w:tr>
      <w:tr w:rsidRPr="00AB2FC3" w:rsidR="000E0FFA" w:rsidTr="00A75D98" w14:paraId="089AEDF9" w14:textId="77777777">
        <w:trPr>
          <w:trHeight w:val="300"/>
        </w:trPr>
        <w:tc>
          <w:tcPr>
            <w:tcW w:w="2127" w:type="dxa"/>
            <w:tcBorders>
              <w:top w:val="nil"/>
              <w:left w:val="single" w:color="auto" w:sz="4" w:space="0"/>
              <w:bottom w:val="single" w:color="auto" w:sz="4" w:space="0"/>
              <w:right w:val="single" w:color="auto" w:sz="4" w:space="0"/>
            </w:tcBorders>
            <w:shd w:val="clear" w:color="000000" w:fill="D9D9D9"/>
            <w:vAlign w:val="center"/>
            <w:hideMark/>
          </w:tcPr>
          <w:p w:rsidRPr="00AB2FC3" w:rsidR="000E0FFA" w:rsidP="003E3077" w:rsidRDefault="000E0FFA" w14:paraId="71D341D6" w14:textId="77777777">
            <w:pPr>
              <w:rPr>
                <w:rFonts w:eastAsia="Times New Roman"/>
                <w:b/>
                <w:bCs/>
                <w:color w:val="000000"/>
                <w:sz w:val="20"/>
                <w:szCs w:val="20"/>
                <w:lang w:eastAsia="en-GB"/>
              </w:rPr>
            </w:pPr>
            <w:r w:rsidRPr="00AB2FC3">
              <w:rPr>
                <w:rFonts w:eastAsia="Times New Roman"/>
                <w:b/>
                <w:bCs/>
                <w:color w:val="000000"/>
                <w:sz w:val="20"/>
                <w:szCs w:val="20"/>
                <w:lang w:eastAsia="en-GB"/>
              </w:rPr>
              <w:t>Overall risk levels</w:t>
            </w:r>
          </w:p>
        </w:tc>
        <w:tc>
          <w:tcPr>
            <w:tcW w:w="2268" w:type="dxa"/>
            <w:tcBorders>
              <w:top w:val="nil"/>
              <w:left w:val="nil"/>
              <w:bottom w:val="single" w:color="000000" w:sz="8" w:space="0"/>
              <w:right w:val="single" w:color="000000" w:sz="8" w:space="0"/>
            </w:tcBorders>
            <w:shd w:val="clear" w:color="000000" w:fill="92D050"/>
            <w:vAlign w:val="center"/>
            <w:hideMark/>
          </w:tcPr>
          <w:p w:rsidRPr="00AB2FC3" w:rsidR="000E0FFA" w:rsidP="003E3077" w:rsidRDefault="000E0FFA" w14:paraId="5091A833" w14:textId="77777777">
            <w:pPr>
              <w:jc w:val="center"/>
              <w:rPr>
                <w:rFonts w:eastAsia="Times New Roman"/>
                <w:color w:val="000000"/>
                <w:sz w:val="20"/>
                <w:szCs w:val="20"/>
                <w:lang w:eastAsia="en-GB"/>
              </w:rPr>
            </w:pPr>
            <w:r w:rsidRPr="00AB2FC3">
              <w:rPr>
                <w:rFonts w:eastAsia="Times New Roman"/>
                <w:color w:val="000000"/>
                <w:sz w:val="20"/>
                <w:lang w:eastAsia="en-GB"/>
              </w:rPr>
              <w:t>Low risk</w:t>
            </w:r>
          </w:p>
        </w:tc>
        <w:tc>
          <w:tcPr>
            <w:tcW w:w="2551" w:type="dxa"/>
            <w:tcBorders>
              <w:top w:val="nil"/>
              <w:left w:val="nil"/>
              <w:bottom w:val="single" w:color="000000" w:sz="8" w:space="0"/>
              <w:right w:val="single" w:color="000000" w:sz="8" w:space="0"/>
            </w:tcBorders>
            <w:shd w:val="clear" w:color="000000" w:fill="FFC000"/>
            <w:vAlign w:val="center"/>
            <w:hideMark/>
          </w:tcPr>
          <w:p w:rsidRPr="00AB2FC3" w:rsidR="000E0FFA" w:rsidP="003E3077" w:rsidRDefault="000E0FFA" w14:paraId="7EEE974C" w14:textId="77777777">
            <w:pPr>
              <w:jc w:val="center"/>
              <w:rPr>
                <w:rFonts w:eastAsia="Times New Roman"/>
                <w:color w:val="000000"/>
                <w:sz w:val="20"/>
                <w:szCs w:val="20"/>
                <w:lang w:eastAsia="en-GB"/>
              </w:rPr>
            </w:pPr>
            <w:r w:rsidRPr="00AB2FC3">
              <w:rPr>
                <w:rFonts w:eastAsia="Times New Roman"/>
                <w:color w:val="000000"/>
                <w:sz w:val="20"/>
                <w:lang w:eastAsia="en-GB"/>
              </w:rPr>
              <w:t>Medium risk</w:t>
            </w:r>
          </w:p>
        </w:tc>
        <w:tc>
          <w:tcPr>
            <w:tcW w:w="2410" w:type="dxa"/>
            <w:tcBorders>
              <w:top w:val="nil"/>
              <w:left w:val="nil"/>
              <w:bottom w:val="single" w:color="000000" w:sz="8" w:space="0"/>
              <w:right w:val="single" w:color="000000" w:sz="8" w:space="0"/>
            </w:tcBorders>
            <w:shd w:val="clear" w:color="000000" w:fill="FF0000"/>
            <w:vAlign w:val="center"/>
            <w:hideMark/>
          </w:tcPr>
          <w:p w:rsidRPr="00AB2FC3" w:rsidR="000E0FFA" w:rsidP="003E3077" w:rsidRDefault="000E0FFA" w14:paraId="222F3898" w14:textId="77777777">
            <w:pPr>
              <w:jc w:val="center"/>
              <w:rPr>
                <w:rFonts w:eastAsia="Times New Roman"/>
                <w:color w:val="000000"/>
                <w:sz w:val="20"/>
                <w:szCs w:val="20"/>
                <w:lang w:eastAsia="en-GB"/>
              </w:rPr>
            </w:pPr>
            <w:r w:rsidRPr="00AB2FC3">
              <w:rPr>
                <w:rFonts w:eastAsia="Times New Roman"/>
                <w:color w:val="000000"/>
                <w:sz w:val="20"/>
                <w:lang w:eastAsia="en-GB"/>
              </w:rPr>
              <w:t>High risk</w:t>
            </w:r>
          </w:p>
        </w:tc>
      </w:tr>
      <w:tr w:rsidRPr="00AB2FC3" w:rsidR="000E0FFA" w:rsidTr="00A75D98" w14:paraId="5FCEDDBD" w14:textId="77777777">
        <w:trPr>
          <w:trHeight w:val="1380"/>
        </w:trPr>
        <w:tc>
          <w:tcPr>
            <w:tcW w:w="2127" w:type="dxa"/>
            <w:tcBorders>
              <w:top w:val="nil"/>
              <w:left w:val="single" w:color="auto" w:sz="4" w:space="0"/>
              <w:bottom w:val="single" w:color="auto" w:sz="4" w:space="0"/>
              <w:right w:val="single" w:color="auto" w:sz="4" w:space="0"/>
            </w:tcBorders>
            <w:shd w:val="clear" w:color="auto" w:fill="auto"/>
            <w:vAlign w:val="center"/>
            <w:hideMark/>
          </w:tcPr>
          <w:p w:rsidRPr="00AB2FC3" w:rsidR="000E0FFA" w:rsidP="003E3077" w:rsidRDefault="000E0FFA" w14:paraId="3AA81943" w14:textId="77777777">
            <w:pPr>
              <w:jc w:val="center"/>
              <w:rPr>
                <w:rFonts w:eastAsia="Times New Roman"/>
                <w:b/>
                <w:bCs/>
                <w:color w:val="000000"/>
                <w:lang w:eastAsia="en-GB"/>
              </w:rPr>
            </w:pPr>
            <w:r w:rsidRPr="00AB2FC3">
              <w:rPr>
                <w:rFonts w:eastAsia="Times New Roman"/>
                <w:b/>
                <w:bCs/>
                <w:color w:val="000000"/>
                <w:lang w:eastAsia="en-GB"/>
              </w:rPr>
              <w:t>Action/review</w:t>
            </w:r>
          </w:p>
        </w:tc>
        <w:tc>
          <w:tcPr>
            <w:tcW w:w="2268" w:type="dxa"/>
            <w:tcBorders>
              <w:top w:val="single" w:color="auto" w:sz="4" w:space="0"/>
              <w:left w:val="nil"/>
              <w:bottom w:val="single" w:color="auto" w:sz="4" w:space="0"/>
              <w:right w:val="single" w:color="auto" w:sz="4" w:space="0"/>
            </w:tcBorders>
            <w:shd w:val="clear" w:color="auto" w:fill="auto"/>
            <w:vAlign w:val="center"/>
            <w:hideMark/>
          </w:tcPr>
          <w:p w:rsidRPr="00AB2FC3" w:rsidR="000E0FFA" w:rsidP="003E3077" w:rsidRDefault="000E0FFA" w14:paraId="5DDDF4D5" w14:textId="77777777">
            <w:pPr>
              <w:rPr>
                <w:rFonts w:eastAsia="Times New Roman"/>
                <w:color w:val="000000"/>
                <w:sz w:val="20"/>
                <w:szCs w:val="20"/>
                <w:lang w:eastAsia="en-GB"/>
              </w:rPr>
            </w:pPr>
            <w:r w:rsidRPr="00AB2FC3">
              <w:rPr>
                <w:rFonts w:eastAsia="Times New Roman"/>
                <w:color w:val="000000"/>
                <w:sz w:val="20"/>
                <w:lang w:eastAsia="en-GB"/>
              </w:rPr>
              <w:t xml:space="preserve">Proceed </w:t>
            </w:r>
            <w:r w:rsidRPr="00AB2FC3">
              <w:rPr>
                <w:rFonts w:eastAsia="Times New Roman"/>
                <w:color w:val="000000"/>
                <w:sz w:val="20"/>
                <w:lang w:eastAsia="en-GB"/>
              </w:rPr>
              <w:br/>
            </w:r>
            <w:r w:rsidRPr="00AB2FC3">
              <w:rPr>
                <w:rFonts w:eastAsia="Times New Roman"/>
                <w:color w:val="000000"/>
                <w:sz w:val="20"/>
                <w:lang w:eastAsia="en-GB"/>
              </w:rPr>
              <w:t>No requirement for R</w:t>
            </w:r>
            <w:r>
              <w:rPr>
                <w:rFonts w:eastAsia="Times New Roman"/>
                <w:color w:val="000000"/>
                <w:sz w:val="20"/>
                <w:lang w:eastAsia="en-GB"/>
              </w:rPr>
              <w:t>E</w:t>
            </w:r>
            <w:r w:rsidRPr="00AB2FC3">
              <w:rPr>
                <w:rFonts w:eastAsia="Times New Roman"/>
                <w:color w:val="000000"/>
                <w:sz w:val="20"/>
                <w:lang w:eastAsia="en-GB"/>
              </w:rPr>
              <w:t>DD</w:t>
            </w:r>
            <w:r>
              <w:rPr>
                <w:rFonts w:eastAsia="Times New Roman"/>
                <w:color w:val="000000"/>
                <w:sz w:val="20"/>
                <w:lang w:eastAsia="en-GB"/>
              </w:rPr>
              <w:t xml:space="preserve"> </w:t>
            </w:r>
            <w:r w:rsidRPr="00AB2FC3">
              <w:rPr>
                <w:rFonts w:eastAsia="Times New Roman"/>
                <w:color w:val="000000"/>
                <w:sz w:val="20"/>
                <w:lang w:eastAsia="en-GB"/>
              </w:rPr>
              <w:t>P</w:t>
            </w:r>
            <w:r>
              <w:rPr>
                <w:rFonts w:eastAsia="Times New Roman"/>
                <w:color w:val="000000"/>
                <w:sz w:val="20"/>
                <w:lang w:eastAsia="en-GB"/>
              </w:rPr>
              <w:t>anel</w:t>
            </w:r>
            <w:r w:rsidRPr="00AB2FC3">
              <w:rPr>
                <w:rFonts w:eastAsia="Times New Roman"/>
                <w:color w:val="000000"/>
                <w:sz w:val="20"/>
                <w:lang w:eastAsia="en-GB"/>
              </w:rPr>
              <w:t xml:space="preserve"> review</w:t>
            </w:r>
          </w:p>
        </w:tc>
        <w:tc>
          <w:tcPr>
            <w:tcW w:w="2551" w:type="dxa"/>
            <w:tcBorders>
              <w:top w:val="single" w:color="auto" w:sz="4" w:space="0"/>
              <w:left w:val="nil"/>
              <w:bottom w:val="single" w:color="auto" w:sz="4" w:space="0"/>
              <w:right w:val="single" w:color="auto" w:sz="4" w:space="0"/>
            </w:tcBorders>
            <w:shd w:val="clear" w:color="auto" w:fill="auto"/>
            <w:vAlign w:val="center"/>
            <w:hideMark/>
          </w:tcPr>
          <w:p w:rsidRPr="00AB2FC3" w:rsidR="000E0FFA" w:rsidP="003E3077" w:rsidRDefault="000E0FFA" w14:paraId="270672E3" w14:textId="77777777">
            <w:pPr>
              <w:rPr>
                <w:rFonts w:eastAsia="Times New Roman"/>
                <w:color w:val="000000"/>
                <w:sz w:val="20"/>
                <w:szCs w:val="20"/>
                <w:lang w:eastAsia="en-GB"/>
              </w:rPr>
            </w:pPr>
            <w:r w:rsidRPr="00AB2FC3">
              <w:rPr>
                <w:rFonts w:eastAsia="Times New Roman"/>
                <w:color w:val="000000"/>
                <w:sz w:val="20"/>
                <w:lang w:eastAsia="en-GB"/>
              </w:rPr>
              <w:t>Responses to relevant sections of the Due Dili</w:t>
            </w:r>
            <w:r>
              <w:rPr>
                <w:rFonts w:eastAsia="Times New Roman"/>
                <w:color w:val="000000"/>
                <w:sz w:val="20"/>
                <w:lang w:eastAsia="en-GB"/>
              </w:rPr>
              <w:t xml:space="preserve">gence Questionnaire needed  and </w:t>
            </w:r>
            <w:r w:rsidRPr="00AB2FC3">
              <w:rPr>
                <w:rFonts w:eastAsia="Times New Roman"/>
                <w:color w:val="000000"/>
                <w:sz w:val="20"/>
                <w:lang w:eastAsia="en-GB"/>
              </w:rPr>
              <w:t xml:space="preserve"> </w:t>
            </w:r>
            <w:r>
              <w:rPr>
                <w:rFonts w:eastAsia="Times New Roman"/>
                <w:color w:val="000000"/>
                <w:sz w:val="20"/>
                <w:lang w:eastAsia="en-GB"/>
              </w:rPr>
              <w:t xml:space="preserve">review by </w:t>
            </w:r>
            <w:r w:rsidRPr="00AB2FC3">
              <w:rPr>
                <w:rFonts w:eastAsia="Times New Roman"/>
                <w:color w:val="000000"/>
                <w:sz w:val="20"/>
                <w:lang w:eastAsia="en-GB"/>
              </w:rPr>
              <w:t>R</w:t>
            </w:r>
            <w:r>
              <w:rPr>
                <w:rFonts w:eastAsia="Times New Roman"/>
                <w:color w:val="000000"/>
                <w:sz w:val="20"/>
                <w:lang w:eastAsia="en-GB"/>
              </w:rPr>
              <w:t>E</w:t>
            </w:r>
            <w:r w:rsidRPr="00AB2FC3">
              <w:rPr>
                <w:rFonts w:eastAsia="Times New Roman"/>
                <w:color w:val="000000"/>
                <w:sz w:val="20"/>
                <w:lang w:eastAsia="en-GB"/>
              </w:rPr>
              <w:t>DD</w:t>
            </w:r>
            <w:r>
              <w:rPr>
                <w:rFonts w:eastAsia="Times New Roman"/>
                <w:color w:val="000000"/>
                <w:sz w:val="20"/>
                <w:lang w:eastAsia="en-GB"/>
              </w:rPr>
              <w:t xml:space="preserve"> </w:t>
            </w:r>
            <w:r w:rsidRPr="00AB2FC3">
              <w:rPr>
                <w:rFonts w:eastAsia="Times New Roman"/>
                <w:color w:val="000000"/>
                <w:sz w:val="20"/>
                <w:lang w:eastAsia="en-GB"/>
              </w:rPr>
              <w:t>P</w:t>
            </w:r>
            <w:r>
              <w:rPr>
                <w:rFonts w:eastAsia="Times New Roman"/>
                <w:color w:val="000000"/>
                <w:sz w:val="20"/>
                <w:lang w:eastAsia="en-GB"/>
              </w:rPr>
              <w:t>anel</w:t>
            </w:r>
            <w:r w:rsidRPr="00AB2FC3">
              <w:rPr>
                <w:rFonts w:eastAsia="Times New Roman"/>
                <w:color w:val="000000"/>
                <w:sz w:val="20"/>
                <w:lang w:eastAsia="en-GB"/>
              </w:rPr>
              <w:t xml:space="preserve"> required</w:t>
            </w:r>
          </w:p>
        </w:tc>
        <w:tc>
          <w:tcPr>
            <w:tcW w:w="2410" w:type="dxa"/>
            <w:tcBorders>
              <w:top w:val="single" w:color="auto" w:sz="4" w:space="0"/>
              <w:left w:val="nil"/>
              <w:bottom w:val="single" w:color="auto" w:sz="4" w:space="0"/>
              <w:right w:val="single" w:color="auto" w:sz="4" w:space="0"/>
            </w:tcBorders>
            <w:shd w:val="clear" w:color="auto" w:fill="auto"/>
            <w:vAlign w:val="center"/>
            <w:hideMark/>
          </w:tcPr>
          <w:p w:rsidRPr="00AB2FC3" w:rsidR="000E0FFA" w:rsidP="003E3077" w:rsidRDefault="000E0FFA" w14:paraId="3D722A55" w14:textId="77777777">
            <w:pPr>
              <w:rPr>
                <w:rFonts w:eastAsia="Times New Roman"/>
                <w:color w:val="000000"/>
                <w:sz w:val="20"/>
                <w:szCs w:val="20"/>
                <w:lang w:eastAsia="en-GB"/>
              </w:rPr>
            </w:pPr>
            <w:r w:rsidRPr="00AB2FC3">
              <w:rPr>
                <w:rFonts w:eastAsia="Times New Roman"/>
                <w:color w:val="000000"/>
                <w:sz w:val="20"/>
                <w:lang w:eastAsia="en-GB"/>
              </w:rPr>
              <w:t>Responses to all sections of the Due Diligence Questionnaire needed, review by R</w:t>
            </w:r>
            <w:r>
              <w:rPr>
                <w:rFonts w:eastAsia="Times New Roman"/>
                <w:color w:val="000000"/>
                <w:sz w:val="20"/>
                <w:lang w:eastAsia="en-GB"/>
              </w:rPr>
              <w:t>E</w:t>
            </w:r>
            <w:r w:rsidRPr="00AB2FC3">
              <w:rPr>
                <w:rFonts w:eastAsia="Times New Roman"/>
                <w:color w:val="000000"/>
                <w:sz w:val="20"/>
                <w:lang w:eastAsia="en-GB"/>
              </w:rPr>
              <w:t>DD</w:t>
            </w:r>
            <w:r>
              <w:rPr>
                <w:rFonts w:eastAsia="Times New Roman"/>
                <w:color w:val="000000"/>
                <w:sz w:val="20"/>
                <w:lang w:eastAsia="en-GB"/>
              </w:rPr>
              <w:t xml:space="preserve"> </w:t>
            </w:r>
            <w:r w:rsidRPr="00AB2FC3">
              <w:rPr>
                <w:rFonts w:eastAsia="Times New Roman"/>
                <w:color w:val="000000"/>
                <w:sz w:val="20"/>
                <w:lang w:eastAsia="en-GB"/>
              </w:rPr>
              <w:t>P</w:t>
            </w:r>
            <w:r>
              <w:rPr>
                <w:rFonts w:eastAsia="Times New Roman"/>
                <w:color w:val="000000"/>
                <w:sz w:val="20"/>
                <w:lang w:eastAsia="en-GB"/>
              </w:rPr>
              <w:t>anel</w:t>
            </w:r>
            <w:r w:rsidRPr="00AB2FC3">
              <w:rPr>
                <w:rFonts w:eastAsia="Times New Roman"/>
                <w:color w:val="000000"/>
                <w:sz w:val="20"/>
                <w:lang w:eastAsia="en-GB"/>
              </w:rPr>
              <w:t xml:space="preserve"> including  meeting attended by PI</w:t>
            </w:r>
          </w:p>
        </w:tc>
      </w:tr>
      <w:tr w:rsidRPr="00AB2FC3" w:rsidR="000E0FFA" w:rsidTr="00A75D98" w14:paraId="6ED81A06" w14:textId="77777777">
        <w:trPr>
          <w:trHeight w:val="828"/>
        </w:trPr>
        <w:tc>
          <w:tcPr>
            <w:tcW w:w="2127" w:type="dxa"/>
            <w:tcBorders>
              <w:top w:val="nil"/>
              <w:left w:val="single" w:color="auto" w:sz="4" w:space="0"/>
              <w:bottom w:val="single" w:color="auto" w:sz="4" w:space="0"/>
              <w:right w:val="single" w:color="auto" w:sz="4" w:space="0"/>
            </w:tcBorders>
            <w:shd w:val="clear" w:color="auto" w:fill="auto"/>
            <w:vAlign w:val="center"/>
            <w:hideMark/>
          </w:tcPr>
          <w:p w:rsidRPr="00AB2FC3" w:rsidR="000E0FFA" w:rsidP="003E3077" w:rsidRDefault="000E0FFA" w14:paraId="1E1D73DA" w14:textId="77777777">
            <w:pPr>
              <w:jc w:val="center"/>
              <w:rPr>
                <w:rFonts w:eastAsia="Times New Roman"/>
                <w:b/>
                <w:bCs/>
                <w:color w:val="000000"/>
                <w:lang w:eastAsia="en-GB"/>
              </w:rPr>
            </w:pPr>
            <w:r w:rsidRPr="00AB2FC3">
              <w:rPr>
                <w:rFonts w:eastAsia="Times New Roman"/>
                <w:b/>
                <w:bCs/>
                <w:color w:val="000000"/>
                <w:lang w:eastAsia="en-GB"/>
              </w:rPr>
              <w:t>Contracting</w:t>
            </w:r>
          </w:p>
        </w:tc>
        <w:tc>
          <w:tcPr>
            <w:tcW w:w="2268" w:type="dxa"/>
            <w:tcBorders>
              <w:top w:val="nil"/>
              <w:left w:val="nil"/>
              <w:bottom w:val="single" w:color="auto" w:sz="4" w:space="0"/>
              <w:right w:val="single" w:color="auto" w:sz="4" w:space="0"/>
            </w:tcBorders>
            <w:shd w:val="clear" w:color="auto" w:fill="auto"/>
            <w:vAlign w:val="center"/>
            <w:hideMark/>
          </w:tcPr>
          <w:p w:rsidRPr="00AB2FC3" w:rsidR="000E0FFA" w:rsidP="003E3077" w:rsidRDefault="000E0FFA" w14:paraId="6AF24404" w14:textId="77777777">
            <w:pPr>
              <w:rPr>
                <w:rFonts w:eastAsia="Times New Roman"/>
                <w:color w:val="000000"/>
                <w:sz w:val="20"/>
                <w:szCs w:val="20"/>
                <w:lang w:eastAsia="en-GB"/>
              </w:rPr>
            </w:pPr>
            <w:r w:rsidRPr="00AB2FC3">
              <w:rPr>
                <w:rFonts w:eastAsia="Times New Roman"/>
                <w:color w:val="000000"/>
                <w:sz w:val="20"/>
                <w:lang w:eastAsia="en-GB"/>
              </w:rPr>
              <w:t>Standard collaboration agreement</w:t>
            </w:r>
          </w:p>
        </w:tc>
        <w:tc>
          <w:tcPr>
            <w:tcW w:w="2551" w:type="dxa"/>
            <w:tcBorders>
              <w:top w:val="nil"/>
              <w:left w:val="nil"/>
              <w:bottom w:val="single" w:color="auto" w:sz="4" w:space="0"/>
              <w:right w:val="single" w:color="auto" w:sz="4" w:space="0"/>
            </w:tcBorders>
            <w:shd w:val="clear" w:color="auto" w:fill="auto"/>
            <w:vAlign w:val="center"/>
            <w:hideMark/>
          </w:tcPr>
          <w:p w:rsidRPr="00AB2FC3" w:rsidR="000E0FFA" w:rsidP="003E3077" w:rsidRDefault="000E0FFA" w14:paraId="6B2834C7" w14:textId="77777777">
            <w:pPr>
              <w:rPr>
                <w:rFonts w:eastAsia="Times New Roman"/>
                <w:color w:val="000000"/>
                <w:sz w:val="20"/>
                <w:szCs w:val="20"/>
                <w:lang w:eastAsia="en-GB"/>
              </w:rPr>
            </w:pPr>
            <w:r w:rsidRPr="00AB2FC3">
              <w:rPr>
                <w:rFonts w:eastAsia="Times New Roman"/>
                <w:color w:val="000000"/>
                <w:sz w:val="20"/>
                <w:lang w:eastAsia="en-GB"/>
              </w:rPr>
              <w:t>Adapted collaboration agreement (for financial arrangements</w:t>
            </w:r>
            <w:r>
              <w:rPr>
                <w:rFonts w:eastAsia="Times New Roman"/>
                <w:color w:val="000000"/>
                <w:sz w:val="20"/>
                <w:lang w:eastAsia="en-GB"/>
              </w:rPr>
              <w:t>, IP</w:t>
            </w:r>
            <w:r w:rsidRPr="00AB2FC3">
              <w:rPr>
                <w:rFonts w:eastAsia="Times New Roman"/>
                <w:color w:val="000000"/>
                <w:sz w:val="20"/>
                <w:lang w:eastAsia="en-GB"/>
              </w:rPr>
              <w:t xml:space="preserve"> etc)</w:t>
            </w:r>
          </w:p>
        </w:tc>
        <w:tc>
          <w:tcPr>
            <w:tcW w:w="2410" w:type="dxa"/>
            <w:tcBorders>
              <w:top w:val="nil"/>
              <w:left w:val="nil"/>
              <w:bottom w:val="single" w:color="auto" w:sz="4" w:space="0"/>
              <w:right w:val="single" w:color="auto" w:sz="4" w:space="0"/>
            </w:tcBorders>
            <w:shd w:val="clear" w:color="auto" w:fill="auto"/>
            <w:vAlign w:val="center"/>
            <w:hideMark/>
          </w:tcPr>
          <w:p w:rsidRPr="00AB2FC3" w:rsidR="000E0FFA" w:rsidP="003E3077" w:rsidRDefault="000E0FFA" w14:paraId="007DA2B8" w14:textId="77777777">
            <w:pPr>
              <w:rPr>
                <w:rFonts w:eastAsia="Times New Roman"/>
                <w:color w:val="000000"/>
                <w:sz w:val="20"/>
                <w:szCs w:val="20"/>
                <w:lang w:eastAsia="en-GB"/>
              </w:rPr>
            </w:pPr>
            <w:r w:rsidRPr="00AB2FC3">
              <w:rPr>
                <w:rFonts w:eastAsia="Times New Roman"/>
                <w:color w:val="000000"/>
                <w:sz w:val="20"/>
                <w:lang w:eastAsia="en-GB"/>
              </w:rPr>
              <w:t>Adapted collaboration agreement (for financial arrangements</w:t>
            </w:r>
            <w:r>
              <w:rPr>
                <w:rFonts w:eastAsia="Times New Roman"/>
                <w:color w:val="000000"/>
                <w:sz w:val="20"/>
                <w:lang w:eastAsia="en-GB"/>
              </w:rPr>
              <w:t>, IP</w:t>
            </w:r>
            <w:r w:rsidRPr="00AB2FC3">
              <w:rPr>
                <w:rFonts w:eastAsia="Times New Roman"/>
                <w:color w:val="000000"/>
                <w:sz w:val="20"/>
                <w:lang w:eastAsia="en-GB"/>
              </w:rPr>
              <w:t xml:space="preserve"> etc)</w:t>
            </w:r>
          </w:p>
        </w:tc>
      </w:tr>
      <w:tr w:rsidRPr="00AB2FC3" w:rsidR="000E0FFA" w:rsidTr="00A75D98" w14:paraId="258DADC4" w14:textId="77777777">
        <w:trPr>
          <w:trHeight w:val="1380"/>
        </w:trPr>
        <w:tc>
          <w:tcPr>
            <w:tcW w:w="2127" w:type="dxa"/>
            <w:tcBorders>
              <w:top w:val="nil"/>
              <w:left w:val="single" w:color="auto" w:sz="4" w:space="0"/>
              <w:bottom w:val="single" w:color="auto" w:sz="4" w:space="0"/>
              <w:right w:val="single" w:color="auto" w:sz="4" w:space="0"/>
            </w:tcBorders>
            <w:shd w:val="clear" w:color="auto" w:fill="auto"/>
            <w:vAlign w:val="center"/>
            <w:hideMark/>
          </w:tcPr>
          <w:p w:rsidRPr="00AB2FC3" w:rsidR="000E0FFA" w:rsidP="003E3077" w:rsidRDefault="000E0FFA" w14:paraId="736B4653" w14:textId="77777777">
            <w:pPr>
              <w:jc w:val="center"/>
              <w:rPr>
                <w:rFonts w:eastAsia="Times New Roman"/>
                <w:b/>
                <w:bCs/>
                <w:color w:val="000000"/>
                <w:lang w:eastAsia="en-GB"/>
              </w:rPr>
            </w:pPr>
            <w:r w:rsidRPr="00AB2FC3">
              <w:rPr>
                <w:rFonts w:eastAsia="Times New Roman"/>
                <w:b/>
                <w:bCs/>
                <w:color w:val="000000"/>
                <w:lang w:eastAsia="en-GB"/>
              </w:rPr>
              <w:t>Reporting</w:t>
            </w:r>
          </w:p>
        </w:tc>
        <w:tc>
          <w:tcPr>
            <w:tcW w:w="2268" w:type="dxa"/>
            <w:tcBorders>
              <w:top w:val="nil"/>
              <w:left w:val="nil"/>
              <w:bottom w:val="single" w:color="auto" w:sz="4" w:space="0"/>
              <w:right w:val="single" w:color="auto" w:sz="4" w:space="0"/>
            </w:tcBorders>
            <w:shd w:val="clear" w:color="auto" w:fill="auto"/>
            <w:vAlign w:val="center"/>
            <w:hideMark/>
          </w:tcPr>
          <w:p w:rsidRPr="00AB2FC3" w:rsidR="000E0FFA" w:rsidP="003E3077" w:rsidRDefault="000E0FFA" w14:paraId="7575C3FA" w14:textId="77777777">
            <w:pPr>
              <w:rPr>
                <w:rFonts w:eastAsia="Times New Roman"/>
                <w:color w:val="000000"/>
                <w:sz w:val="20"/>
                <w:szCs w:val="20"/>
                <w:lang w:eastAsia="en-GB"/>
              </w:rPr>
            </w:pPr>
            <w:r w:rsidRPr="00AB2FC3">
              <w:rPr>
                <w:rFonts w:eastAsia="Times New Roman"/>
                <w:color w:val="000000"/>
                <w:sz w:val="20"/>
                <w:lang w:eastAsia="en-GB"/>
              </w:rPr>
              <w:t>Normal reporting requirements</w:t>
            </w:r>
          </w:p>
        </w:tc>
        <w:tc>
          <w:tcPr>
            <w:tcW w:w="2551" w:type="dxa"/>
            <w:tcBorders>
              <w:top w:val="nil"/>
              <w:left w:val="nil"/>
              <w:bottom w:val="single" w:color="auto" w:sz="4" w:space="0"/>
              <w:right w:val="single" w:color="auto" w:sz="4" w:space="0"/>
            </w:tcBorders>
            <w:shd w:val="clear" w:color="auto" w:fill="auto"/>
            <w:vAlign w:val="center"/>
            <w:hideMark/>
          </w:tcPr>
          <w:p w:rsidRPr="00AB2FC3" w:rsidR="000E0FFA" w:rsidP="003E3077" w:rsidRDefault="000E0FFA" w14:paraId="41EC4854" w14:textId="77777777">
            <w:pPr>
              <w:rPr>
                <w:rFonts w:eastAsia="Times New Roman"/>
                <w:color w:val="000000"/>
                <w:sz w:val="20"/>
                <w:szCs w:val="20"/>
                <w:lang w:eastAsia="en-GB"/>
              </w:rPr>
            </w:pPr>
            <w:r w:rsidRPr="00AB2FC3">
              <w:rPr>
                <w:rFonts w:eastAsia="Times New Roman"/>
                <w:color w:val="000000"/>
                <w:sz w:val="20"/>
                <w:lang w:eastAsia="en-GB"/>
              </w:rPr>
              <w:t xml:space="preserve">Quarterly statements in </w:t>
            </w:r>
            <w:r>
              <w:rPr>
                <w:rFonts w:eastAsia="Times New Roman"/>
                <w:color w:val="000000"/>
                <w:sz w:val="20"/>
                <w:lang w:eastAsia="en-GB"/>
              </w:rPr>
              <w:t>addition</w:t>
            </w:r>
            <w:r w:rsidRPr="00AB2FC3">
              <w:rPr>
                <w:rFonts w:eastAsia="Times New Roman"/>
                <w:color w:val="000000"/>
                <w:sz w:val="20"/>
                <w:lang w:eastAsia="en-GB"/>
              </w:rPr>
              <w:t xml:space="preserve"> to normal reporting requirements</w:t>
            </w:r>
          </w:p>
        </w:tc>
        <w:tc>
          <w:tcPr>
            <w:tcW w:w="2410" w:type="dxa"/>
            <w:tcBorders>
              <w:top w:val="nil"/>
              <w:left w:val="nil"/>
              <w:bottom w:val="single" w:color="auto" w:sz="4" w:space="0"/>
              <w:right w:val="single" w:color="auto" w:sz="4" w:space="0"/>
            </w:tcBorders>
            <w:shd w:val="clear" w:color="auto" w:fill="auto"/>
            <w:vAlign w:val="center"/>
            <w:hideMark/>
          </w:tcPr>
          <w:p w:rsidRPr="00AB2FC3" w:rsidR="000E0FFA" w:rsidP="003E3077" w:rsidRDefault="000E0FFA" w14:paraId="209F97C2" w14:textId="77777777">
            <w:pPr>
              <w:rPr>
                <w:rFonts w:eastAsia="Times New Roman"/>
                <w:color w:val="000000"/>
                <w:sz w:val="20"/>
                <w:szCs w:val="20"/>
                <w:lang w:eastAsia="en-GB"/>
              </w:rPr>
            </w:pPr>
            <w:r w:rsidRPr="00AB2FC3">
              <w:rPr>
                <w:rFonts w:eastAsia="Times New Roman"/>
                <w:color w:val="000000"/>
                <w:sz w:val="20"/>
                <w:lang w:eastAsia="en-GB"/>
              </w:rPr>
              <w:t xml:space="preserve">Quarterly Spend Report (including evidence), </w:t>
            </w:r>
            <w:r>
              <w:rPr>
                <w:rFonts w:eastAsia="Times New Roman"/>
                <w:color w:val="000000"/>
                <w:sz w:val="20"/>
                <w:lang w:eastAsia="en-GB"/>
              </w:rPr>
              <w:t>m</w:t>
            </w:r>
            <w:r w:rsidRPr="00AB2FC3">
              <w:rPr>
                <w:rFonts w:eastAsia="Times New Roman"/>
                <w:color w:val="000000"/>
                <w:sz w:val="20"/>
                <w:lang w:eastAsia="en-GB"/>
              </w:rPr>
              <w:t>id- award audit in addition to normal reporting requirements</w:t>
            </w:r>
          </w:p>
        </w:tc>
      </w:tr>
    </w:tbl>
    <w:p w:rsidRPr="00AB2FC3" w:rsidR="000E0FFA" w:rsidP="000E0FFA" w:rsidRDefault="000E0FFA" w14:paraId="47500C33" w14:textId="77777777">
      <w:pPr>
        <w:rPr>
          <w:lang w:eastAsia="en-GB"/>
        </w:rPr>
      </w:pPr>
    </w:p>
    <w:p w:rsidR="000E0FFA" w:rsidP="000E0FFA" w:rsidRDefault="00A75D98" w14:paraId="64F0CBC1" w14:textId="21630574">
      <w:pPr>
        <w:pStyle w:val="Heading1"/>
        <w:rPr>
          <w:rFonts w:eastAsia="Times New Roman"/>
          <w:lang w:eastAsia="en-GB"/>
        </w:rPr>
      </w:pPr>
      <w:r>
        <w:rPr>
          <w:rFonts w:eastAsia="Times New Roman"/>
          <w:lang w:eastAsia="en-GB"/>
        </w:rPr>
        <w:t xml:space="preserve">3. </w:t>
      </w:r>
      <w:r w:rsidR="000E0FFA">
        <w:rPr>
          <w:rFonts w:eastAsia="Times New Roman"/>
          <w:lang w:eastAsia="en-GB"/>
        </w:rPr>
        <w:t xml:space="preserve">Research and Enterprise </w:t>
      </w:r>
      <w:r w:rsidRPr="003736E9" w:rsidR="000E0FFA">
        <w:rPr>
          <w:rFonts w:eastAsia="Times New Roman"/>
          <w:lang w:eastAsia="en-GB"/>
        </w:rPr>
        <w:t>Due Diligence Panel</w:t>
      </w:r>
      <w:r w:rsidR="000E0FFA">
        <w:rPr>
          <w:rFonts w:eastAsia="Times New Roman"/>
          <w:lang w:eastAsia="en-GB"/>
        </w:rPr>
        <w:t xml:space="preserve"> (REDD Panel)</w:t>
      </w:r>
    </w:p>
    <w:p w:rsidRPr="00A75D98" w:rsidR="000E0FFA" w:rsidP="00A75D98" w:rsidRDefault="00A75D98" w14:paraId="2AA6BE00" w14:textId="5A836278">
      <w:pPr>
        <w:shd w:val="clear" w:color="auto" w:fill="FFFFFF"/>
        <w:spacing w:after="225"/>
        <w:rPr>
          <w:rFonts w:eastAsia="Times New Roman" w:cstheme="minorHAnsi"/>
          <w:color w:val="1D1D1D"/>
          <w:lang w:eastAsia="en-GB"/>
        </w:rPr>
      </w:pPr>
      <w:r>
        <w:rPr>
          <w:rFonts w:eastAsia="Times New Roman" w:cstheme="minorHAnsi"/>
          <w:color w:val="1D1D1D"/>
          <w:lang w:eastAsia="en-GB"/>
        </w:rPr>
        <w:t xml:space="preserve">3.1 </w:t>
      </w:r>
      <w:r w:rsidRPr="00A75D98" w:rsidR="000E0FFA">
        <w:rPr>
          <w:rFonts w:eastAsia="Times New Roman" w:cstheme="minorHAnsi"/>
          <w:color w:val="1D1D1D"/>
          <w:lang w:eastAsia="en-GB"/>
        </w:rPr>
        <w:t xml:space="preserve">The University needs to assess the risk of working with certain partners or research funders. This is done through a series of checks to identify and manage risk before an activity is approved to proceed, and where necessary through review by the </w:t>
      </w:r>
      <w:r w:rsidRPr="00A75D98" w:rsidR="000E0FFA">
        <w:rPr>
          <w:rFonts w:eastAsia="Times New Roman" w:cstheme="minorHAnsi"/>
          <w:b/>
          <w:color w:val="1D1D1D"/>
          <w:lang w:eastAsia="en-GB"/>
        </w:rPr>
        <w:t>REDD Panel</w:t>
      </w:r>
      <w:r w:rsidRPr="00A75D98" w:rsidR="000E0FFA">
        <w:rPr>
          <w:rFonts w:eastAsia="Times New Roman" w:cstheme="minorHAnsi"/>
          <w:color w:val="1D1D1D"/>
          <w:lang w:eastAsia="en-GB"/>
        </w:rPr>
        <w:t>.</w:t>
      </w:r>
    </w:p>
    <w:p w:rsidRPr="00CD37EE" w:rsidR="000E0FFA" w:rsidP="000E0FFA" w:rsidRDefault="00A75D98" w14:paraId="59D3D7E5" w14:textId="57C55BB7">
      <w:pPr>
        <w:shd w:val="clear" w:color="auto" w:fill="FFFFFF"/>
        <w:spacing w:after="225"/>
        <w:rPr>
          <w:rFonts w:eastAsia="Times New Roman" w:cstheme="minorHAnsi"/>
          <w:color w:val="1D1D1D"/>
          <w:lang w:eastAsia="en-GB"/>
        </w:rPr>
      </w:pPr>
      <w:r>
        <w:rPr>
          <w:rFonts w:eastAsia="Times New Roman" w:cstheme="minorHAnsi"/>
          <w:color w:val="1D1D1D"/>
          <w:lang w:eastAsia="en-GB"/>
        </w:rPr>
        <w:t xml:space="preserve">3.2 </w:t>
      </w:r>
      <w:r w:rsidRPr="00CD37EE" w:rsidR="000E0FFA">
        <w:rPr>
          <w:rFonts w:eastAsia="Times New Roman" w:cstheme="minorHAnsi"/>
          <w:color w:val="1D1D1D"/>
          <w:lang w:eastAsia="en-GB"/>
        </w:rPr>
        <w:t>For research</w:t>
      </w:r>
      <w:r w:rsidR="000E0FFA">
        <w:rPr>
          <w:rFonts w:eastAsia="Times New Roman" w:cstheme="minorHAnsi"/>
          <w:color w:val="1D1D1D"/>
          <w:lang w:eastAsia="en-GB"/>
        </w:rPr>
        <w:t xml:space="preserve"> and enterprise activities</w:t>
      </w:r>
      <w:r w:rsidRPr="00CD37EE" w:rsidR="000E0FFA">
        <w:rPr>
          <w:rFonts w:eastAsia="Times New Roman" w:cstheme="minorHAnsi"/>
          <w:color w:val="1D1D1D"/>
          <w:lang w:eastAsia="en-GB"/>
        </w:rPr>
        <w:t>, risks fall broadly into three areas</w:t>
      </w:r>
      <w:r w:rsidR="000E0FFA">
        <w:rPr>
          <w:rFonts w:eastAsia="Times New Roman" w:cstheme="minorHAnsi"/>
          <w:color w:val="1D1D1D"/>
          <w:lang w:eastAsia="en-GB"/>
        </w:rPr>
        <w:t xml:space="preserve"> with examples</w:t>
      </w:r>
      <w:r w:rsidRPr="00CD37EE" w:rsidR="000E0FFA">
        <w:rPr>
          <w:rFonts w:eastAsia="Times New Roman" w:cstheme="minorHAnsi"/>
          <w:color w:val="1D1D1D"/>
          <w:lang w:eastAsia="en-GB"/>
        </w:rPr>
        <w:t>:</w:t>
      </w:r>
    </w:p>
    <w:p w:rsidRPr="00A75D98" w:rsidR="000E0FFA" w:rsidP="00A75D98" w:rsidRDefault="000E0FFA" w14:paraId="2F0E5A7D" w14:textId="0E291E73">
      <w:pPr>
        <w:pStyle w:val="ListParagraph"/>
        <w:numPr>
          <w:ilvl w:val="0"/>
          <w:numId w:val="22"/>
        </w:numPr>
        <w:shd w:val="clear" w:color="auto" w:fill="FFFFFF"/>
        <w:spacing w:before="100" w:beforeAutospacing="1" w:after="75" w:line="332" w:lineRule="atLeast"/>
        <w:rPr>
          <w:rFonts w:eastAsia="Times New Roman" w:cstheme="minorHAnsi"/>
          <w:color w:val="1D1D1D"/>
          <w:lang w:eastAsia="en-GB"/>
        </w:rPr>
      </w:pPr>
      <w:r w:rsidRPr="00A75D98">
        <w:rPr>
          <w:rFonts w:eastAsia="Times New Roman" w:cstheme="minorHAnsi"/>
          <w:b/>
          <w:color w:val="1D1D1D"/>
          <w:lang w:eastAsia="en-GB"/>
        </w:rPr>
        <w:t>Reputational</w:t>
      </w:r>
      <w:r w:rsidRPr="00A75D98" w:rsidR="00E23518">
        <w:rPr>
          <w:rFonts w:eastAsia="Times New Roman" w:cstheme="minorHAnsi"/>
          <w:color w:val="1D1D1D"/>
          <w:lang w:eastAsia="en-GB"/>
        </w:rPr>
        <w:t xml:space="preserve">: Association with a funder, an individual with significant control </w:t>
      </w:r>
      <w:r w:rsidRPr="00A75D98">
        <w:rPr>
          <w:rFonts w:eastAsia="Times New Roman" w:cstheme="minorHAnsi"/>
          <w:color w:val="1D1D1D"/>
          <w:lang w:eastAsia="en-GB"/>
        </w:rPr>
        <w:t>or project that could damage Lancaster University’s reputation or the research community as a whole. Receipt of funding from one partner that could unduly damage the University’s relationship with another.</w:t>
      </w:r>
    </w:p>
    <w:p w:rsidRPr="00A75D98" w:rsidR="000E0FFA" w:rsidP="00A75D98" w:rsidRDefault="000E0FFA" w14:paraId="54B22F45" w14:textId="77777777">
      <w:pPr>
        <w:pStyle w:val="ListParagraph"/>
        <w:numPr>
          <w:ilvl w:val="0"/>
          <w:numId w:val="22"/>
        </w:numPr>
        <w:shd w:val="clear" w:color="auto" w:fill="FFFFFF"/>
        <w:spacing w:before="100" w:beforeAutospacing="1" w:after="75" w:line="332" w:lineRule="atLeast"/>
        <w:rPr>
          <w:rFonts w:eastAsia="Times New Roman" w:cstheme="minorHAnsi"/>
          <w:color w:val="1D1D1D"/>
          <w:lang w:eastAsia="en-GB"/>
        </w:rPr>
      </w:pPr>
      <w:r w:rsidRPr="00A75D98">
        <w:rPr>
          <w:rFonts w:eastAsia="Times New Roman" w:cstheme="minorHAnsi"/>
          <w:b/>
          <w:color w:val="1D1D1D"/>
          <w:lang w:eastAsia="en-GB"/>
        </w:rPr>
        <w:t>Financial</w:t>
      </w:r>
      <w:r w:rsidRPr="00A75D98">
        <w:rPr>
          <w:rFonts w:eastAsia="Times New Roman" w:cstheme="minorHAnsi"/>
          <w:color w:val="1D1D1D"/>
          <w:lang w:eastAsia="en-GB"/>
        </w:rPr>
        <w:t xml:space="preserve">: Understanding the financial standing of a partners/funders and that there are robust financial management and record keeping processes in place to enable the University and its partners to claim from funders against expenditure.  </w:t>
      </w:r>
    </w:p>
    <w:p w:rsidRPr="00A75D98" w:rsidR="000E0FFA" w:rsidP="00A75D98" w:rsidRDefault="000E0FFA" w14:paraId="52CC5D4E" w14:textId="77777777">
      <w:pPr>
        <w:pStyle w:val="ListParagraph"/>
        <w:numPr>
          <w:ilvl w:val="0"/>
          <w:numId w:val="22"/>
        </w:numPr>
        <w:shd w:val="clear" w:color="auto" w:fill="FFFFFF"/>
        <w:spacing w:before="100" w:beforeAutospacing="1" w:after="75" w:line="332" w:lineRule="atLeast"/>
        <w:rPr>
          <w:rFonts w:eastAsia="Times New Roman" w:cstheme="minorHAnsi"/>
          <w:color w:val="1D1D1D"/>
          <w:lang w:eastAsia="en-GB"/>
        </w:rPr>
      </w:pPr>
      <w:r w:rsidRPr="00A75D98">
        <w:rPr>
          <w:rFonts w:eastAsia="Times New Roman" w:cstheme="minorHAnsi"/>
          <w:b/>
          <w:color w:val="1D1D1D"/>
          <w:lang w:eastAsia="en-GB"/>
        </w:rPr>
        <w:t>Operational</w:t>
      </w:r>
      <w:r w:rsidRPr="00A75D98">
        <w:rPr>
          <w:rFonts w:eastAsia="Times New Roman" w:cstheme="minorHAnsi"/>
          <w:color w:val="1D1D1D"/>
          <w:lang w:eastAsia="en-GB"/>
        </w:rPr>
        <w:t>: Consideration of how effective safeguarding and health and safety issues are addressed. Country constraints such as corruption risks and transferring funds and/or know-how, particularly research that involves export of controlled knowledge, technology or physical items to a partner outside of the UK.</w:t>
      </w:r>
    </w:p>
    <w:p w:rsidR="004C6BC7" w:rsidP="000E0FFA" w:rsidRDefault="004C6BC7" w14:paraId="15853A63" w14:textId="77777777">
      <w:pPr>
        <w:shd w:val="clear" w:color="auto" w:fill="FFFFFF"/>
        <w:spacing w:after="225"/>
        <w:rPr>
          <w:rFonts w:eastAsia="Times New Roman" w:cstheme="minorHAnsi"/>
          <w:color w:val="444444"/>
          <w:lang w:eastAsia="en-GB"/>
        </w:rPr>
      </w:pPr>
    </w:p>
    <w:p w:rsidR="000E0FFA" w:rsidP="000E0FFA" w:rsidRDefault="00A75D98" w14:paraId="5FAE5EF7" w14:textId="64199881">
      <w:pPr>
        <w:shd w:val="clear" w:color="auto" w:fill="FFFFFF"/>
        <w:spacing w:after="225"/>
        <w:rPr>
          <w:rFonts w:eastAsia="Times New Roman" w:cstheme="minorHAnsi"/>
          <w:color w:val="1D1D1D"/>
          <w:lang w:eastAsia="en-GB"/>
        </w:rPr>
      </w:pPr>
      <w:r>
        <w:rPr>
          <w:rFonts w:eastAsia="Times New Roman" w:cstheme="minorHAnsi"/>
          <w:color w:val="444444"/>
          <w:lang w:eastAsia="en-GB"/>
        </w:rPr>
        <w:t xml:space="preserve">3.3 </w:t>
      </w:r>
      <w:r w:rsidR="000E0FFA">
        <w:rPr>
          <w:rFonts w:eastAsia="Times New Roman" w:cstheme="minorHAnsi"/>
          <w:color w:val="444444"/>
          <w:lang w:eastAsia="en-GB"/>
        </w:rPr>
        <w:t>The RE</w:t>
      </w:r>
      <w:r w:rsidRPr="00CD37EE" w:rsidR="000E0FFA">
        <w:rPr>
          <w:rFonts w:eastAsia="Times New Roman" w:cstheme="minorHAnsi"/>
          <w:color w:val="444444"/>
          <w:lang w:eastAsia="en-GB"/>
        </w:rPr>
        <w:t>DD</w:t>
      </w:r>
      <w:r w:rsidR="000E0FFA">
        <w:rPr>
          <w:rFonts w:eastAsia="Times New Roman" w:cstheme="minorHAnsi"/>
          <w:color w:val="444444"/>
          <w:lang w:eastAsia="en-GB"/>
        </w:rPr>
        <w:t xml:space="preserve"> </w:t>
      </w:r>
      <w:r w:rsidRPr="00CD37EE" w:rsidR="000E0FFA">
        <w:rPr>
          <w:rFonts w:eastAsia="Times New Roman" w:cstheme="minorHAnsi"/>
          <w:color w:val="444444"/>
          <w:lang w:eastAsia="en-GB"/>
        </w:rPr>
        <w:t>P</w:t>
      </w:r>
      <w:r w:rsidR="000E0FFA">
        <w:rPr>
          <w:rFonts w:eastAsia="Times New Roman" w:cstheme="minorHAnsi"/>
          <w:color w:val="444444"/>
          <w:lang w:eastAsia="en-GB"/>
        </w:rPr>
        <w:t>anel</w:t>
      </w:r>
      <w:r w:rsidRPr="00CD37EE" w:rsidR="000E0FFA">
        <w:rPr>
          <w:rFonts w:eastAsia="Times New Roman" w:cstheme="minorHAnsi"/>
          <w:color w:val="444444"/>
          <w:lang w:eastAsia="en-GB"/>
        </w:rPr>
        <w:t xml:space="preserve"> will review cases brought forward </w:t>
      </w:r>
      <w:r w:rsidR="000E0FFA">
        <w:rPr>
          <w:rFonts w:eastAsia="Times New Roman" w:cstheme="minorHAnsi"/>
          <w:color w:val="444444"/>
          <w:lang w:eastAsia="en-GB"/>
        </w:rPr>
        <w:t>through the</w:t>
      </w:r>
      <w:r w:rsidRPr="00CD37EE" w:rsidR="000E0FFA">
        <w:rPr>
          <w:rFonts w:eastAsia="Times New Roman" w:cstheme="minorHAnsi"/>
          <w:color w:val="444444"/>
          <w:lang w:eastAsia="en-GB"/>
        </w:rPr>
        <w:t xml:space="preserve"> </w:t>
      </w:r>
      <w:r w:rsidRPr="00CD37EE" w:rsidR="000E0FFA">
        <w:rPr>
          <w:rFonts w:eastAsia="Times New Roman" w:cstheme="minorHAnsi"/>
          <w:color w:val="1D1D1D"/>
          <w:lang w:eastAsia="en-GB"/>
        </w:rPr>
        <w:t>process of risk assessment and due diligence</w:t>
      </w:r>
      <w:r w:rsidR="000E0FFA">
        <w:rPr>
          <w:rFonts w:eastAsia="Times New Roman" w:cstheme="minorHAnsi"/>
          <w:color w:val="1D1D1D"/>
          <w:lang w:eastAsia="en-GB"/>
        </w:rPr>
        <w:t xml:space="preserve"> questionnaires</w:t>
      </w:r>
      <w:r w:rsidRPr="00CD37EE" w:rsidR="000E0FFA">
        <w:rPr>
          <w:rFonts w:eastAsia="Times New Roman" w:cstheme="minorHAnsi"/>
          <w:color w:val="1D1D1D"/>
          <w:lang w:eastAsia="en-GB"/>
        </w:rPr>
        <w:t xml:space="preserve"> </w:t>
      </w:r>
      <w:r w:rsidR="000E0FFA">
        <w:rPr>
          <w:rFonts w:eastAsia="Times New Roman" w:cstheme="minorHAnsi"/>
          <w:color w:val="1D1D1D"/>
          <w:lang w:eastAsia="en-GB"/>
        </w:rPr>
        <w:t xml:space="preserve">to </w:t>
      </w:r>
      <w:r w:rsidRPr="00CD37EE" w:rsidR="000E0FFA">
        <w:rPr>
          <w:rFonts w:eastAsia="Times New Roman" w:cstheme="minorHAnsi"/>
          <w:color w:val="1D1D1D"/>
          <w:lang w:eastAsia="en-GB"/>
        </w:rPr>
        <w:t>ensure th</w:t>
      </w:r>
      <w:r w:rsidR="000E0FFA">
        <w:rPr>
          <w:rFonts w:eastAsia="Times New Roman" w:cstheme="minorHAnsi"/>
          <w:color w:val="1D1D1D"/>
          <w:lang w:eastAsia="en-GB"/>
        </w:rPr>
        <w:t>at the research and enterprise carried out in the University’s</w:t>
      </w:r>
      <w:r w:rsidRPr="00CD37EE" w:rsidR="000E0FFA">
        <w:rPr>
          <w:rFonts w:eastAsia="Times New Roman" w:cstheme="minorHAnsi"/>
          <w:color w:val="1D1D1D"/>
          <w:lang w:eastAsia="en-GB"/>
        </w:rPr>
        <w:t xml:space="preserve"> name and with its partners is able to </w:t>
      </w:r>
      <w:r w:rsidR="000E0FFA">
        <w:rPr>
          <w:rFonts w:eastAsia="Times New Roman" w:cstheme="minorHAnsi"/>
          <w:color w:val="1D1D1D"/>
          <w:lang w:eastAsia="en-GB"/>
        </w:rPr>
        <w:t>proceed and that pa</w:t>
      </w:r>
      <w:r w:rsidRPr="00CD37EE" w:rsidR="000E0FFA">
        <w:rPr>
          <w:rFonts w:eastAsia="Times New Roman" w:cstheme="minorHAnsi"/>
          <w:color w:val="1D1D1D"/>
          <w:lang w:eastAsia="en-GB"/>
        </w:rPr>
        <w:t xml:space="preserve">rtners understand from the outset what they are committing to in operational terms when working with us. In addition, </w:t>
      </w:r>
      <w:r w:rsidR="000E0FFA">
        <w:rPr>
          <w:rFonts w:eastAsia="Times New Roman" w:cstheme="minorHAnsi"/>
          <w:color w:val="1D1D1D"/>
          <w:lang w:eastAsia="en-GB"/>
        </w:rPr>
        <w:t xml:space="preserve">the </w:t>
      </w:r>
      <w:r w:rsidR="000E0FFA">
        <w:rPr>
          <w:rFonts w:eastAsia="Times New Roman" w:cstheme="minorHAnsi"/>
          <w:color w:val="1D1D1D"/>
          <w:lang w:eastAsia="en-GB"/>
        </w:rPr>
        <w:lastRenderedPageBreak/>
        <w:t xml:space="preserve">University has an obligation to review our relationships with regard to national security issues and </w:t>
      </w:r>
      <w:r w:rsidRPr="00CD37EE" w:rsidR="000E0FFA">
        <w:rPr>
          <w:rFonts w:eastAsia="Times New Roman" w:cstheme="minorHAnsi"/>
          <w:color w:val="1D1D1D"/>
          <w:lang w:eastAsia="en-GB"/>
        </w:rPr>
        <w:t>an increasing number of external research funders plac</w:t>
      </w:r>
      <w:r w:rsidR="000E0FFA">
        <w:rPr>
          <w:rFonts w:eastAsia="Times New Roman" w:cstheme="minorHAnsi"/>
          <w:color w:val="1D1D1D"/>
          <w:lang w:eastAsia="en-GB"/>
        </w:rPr>
        <w:t>e</w:t>
      </w:r>
      <w:r w:rsidRPr="00CD37EE" w:rsidR="000E0FFA">
        <w:rPr>
          <w:rFonts w:eastAsia="Times New Roman" w:cstheme="minorHAnsi"/>
          <w:color w:val="1D1D1D"/>
          <w:lang w:eastAsia="en-GB"/>
        </w:rPr>
        <w:t xml:space="preserve"> a requirement to undertake due diligence c</w:t>
      </w:r>
      <w:r w:rsidR="000E0FFA">
        <w:rPr>
          <w:rFonts w:eastAsia="Times New Roman" w:cstheme="minorHAnsi"/>
          <w:color w:val="1D1D1D"/>
          <w:lang w:eastAsia="en-GB"/>
        </w:rPr>
        <w:t>hecks as a condition of award</w:t>
      </w:r>
      <w:r w:rsidRPr="00CD37EE" w:rsidR="000E0FFA">
        <w:rPr>
          <w:rFonts w:eastAsia="Times New Roman" w:cstheme="minorHAnsi"/>
          <w:color w:val="1D1D1D"/>
          <w:lang w:eastAsia="en-GB"/>
        </w:rPr>
        <w:t xml:space="preserve">. </w:t>
      </w:r>
      <w:r w:rsidR="000E0FFA">
        <w:rPr>
          <w:rFonts w:eastAsia="Times New Roman" w:cstheme="minorHAnsi"/>
          <w:color w:val="1D1D1D"/>
          <w:lang w:eastAsia="en-GB"/>
        </w:rPr>
        <w:t xml:space="preserve">The REDD Panel will undertake </w:t>
      </w:r>
      <w:r w:rsidRPr="00CD37EE" w:rsidR="000E0FFA">
        <w:rPr>
          <w:rFonts w:eastAsia="Times New Roman" w:cstheme="minorHAnsi"/>
          <w:color w:val="1D1D1D"/>
          <w:lang w:eastAsia="en-GB"/>
        </w:rPr>
        <w:t xml:space="preserve">to mitigate any risks </w:t>
      </w:r>
      <w:r w:rsidR="000E0FFA">
        <w:rPr>
          <w:rFonts w:eastAsia="Times New Roman" w:cstheme="minorHAnsi"/>
          <w:color w:val="1D1D1D"/>
          <w:lang w:eastAsia="en-GB"/>
        </w:rPr>
        <w:t xml:space="preserve">to the University </w:t>
      </w:r>
      <w:r w:rsidRPr="00CD37EE" w:rsidR="000E0FFA">
        <w:rPr>
          <w:rFonts w:eastAsia="Times New Roman" w:cstheme="minorHAnsi"/>
          <w:color w:val="1D1D1D"/>
          <w:lang w:eastAsia="en-GB"/>
        </w:rPr>
        <w:t>arising from those checks.</w:t>
      </w:r>
    </w:p>
    <w:p w:rsidR="00EE463E" w:rsidP="000E0FFA" w:rsidRDefault="00EE463E" w14:paraId="44FC73D1" w14:textId="77777777">
      <w:pPr>
        <w:shd w:val="clear" w:color="auto" w:fill="FFFFFF"/>
        <w:spacing w:after="225"/>
        <w:rPr>
          <w:rFonts w:eastAsia="Times New Roman" w:cstheme="minorHAnsi"/>
          <w:color w:val="1D1D1D"/>
          <w:lang w:eastAsia="en-GB"/>
        </w:rPr>
      </w:pPr>
    </w:p>
    <w:p w:rsidRPr="0045265E" w:rsidR="000E0FFA" w:rsidP="000E0FFA" w:rsidRDefault="00A75D98" w14:paraId="60674931" w14:textId="130843E9">
      <w:pPr>
        <w:pStyle w:val="Heading3"/>
        <w:rPr>
          <w:rFonts w:eastAsia="Times New Roman"/>
          <w:b/>
          <w:lang w:eastAsia="en-GB"/>
        </w:rPr>
      </w:pPr>
      <w:r>
        <w:rPr>
          <w:rFonts w:eastAsia="Times New Roman"/>
          <w:b/>
          <w:lang w:eastAsia="en-GB"/>
        </w:rPr>
        <w:t xml:space="preserve">4. </w:t>
      </w:r>
      <w:r w:rsidR="000E0FFA">
        <w:rPr>
          <w:rFonts w:eastAsia="Times New Roman"/>
          <w:b/>
          <w:lang w:eastAsia="en-GB"/>
        </w:rPr>
        <w:t xml:space="preserve">Research and Enterprise Due Diligence Panel: </w:t>
      </w:r>
      <w:r w:rsidRPr="0045265E" w:rsidR="000E0FFA">
        <w:rPr>
          <w:rFonts w:eastAsia="Times New Roman"/>
          <w:b/>
          <w:lang w:eastAsia="en-GB"/>
        </w:rPr>
        <w:t>Terms of Reference</w:t>
      </w:r>
    </w:p>
    <w:p w:rsidR="00A75D98" w:rsidP="00A75D98" w:rsidRDefault="00A75D98" w14:paraId="43EDE344" w14:textId="4346F99A">
      <w:pPr>
        <w:spacing w:after="185" w:line="360" w:lineRule="atLeast"/>
        <w:contextualSpacing/>
        <w:rPr>
          <w:rFonts w:eastAsia="Times New Roman" w:cstheme="minorHAnsi"/>
          <w:lang w:eastAsia="en-GB"/>
        </w:rPr>
      </w:pPr>
      <w:r>
        <w:rPr>
          <w:rFonts w:eastAsia="Times New Roman" w:cstheme="minorHAnsi"/>
          <w:lang w:eastAsia="en-GB"/>
        </w:rPr>
        <w:t>4.1 The remit of the Research and Enterprise Due Diligence Panel is:</w:t>
      </w:r>
    </w:p>
    <w:p w:rsidR="00A75D98" w:rsidP="00A75D98" w:rsidRDefault="00A75D98" w14:paraId="485C5CA1" w14:textId="77777777">
      <w:pPr>
        <w:spacing w:after="185" w:line="360" w:lineRule="atLeast"/>
        <w:contextualSpacing/>
        <w:rPr>
          <w:rFonts w:eastAsia="Times New Roman" w:cstheme="minorHAnsi"/>
          <w:lang w:eastAsia="en-GB"/>
        </w:rPr>
      </w:pPr>
    </w:p>
    <w:p w:rsidRPr="00A75D98" w:rsidR="000E0FFA" w:rsidP="003407FC" w:rsidRDefault="00A75D98" w14:paraId="756FCC11" w14:textId="75B646FC">
      <w:pPr>
        <w:spacing w:after="185" w:line="360" w:lineRule="atLeast"/>
        <w:contextualSpacing/>
        <w:rPr>
          <w:rFonts w:eastAsia="Times New Roman" w:cstheme="minorHAnsi"/>
          <w:lang w:eastAsia="en-GB"/>
        </w:rPr>
      </w:pPr>
      <w:r>
        <w:rPr>
          <w:rFonts w:eastAsia="Times New Roman" w:cstheme="minorHAnsi"/>
          <w:lang w:eastAsia="en-GB"/>
        </w:rPr>
        <w:t xml:space="preserve">4.1.1 </w:t>
      </w:r>
      <w:r w:rsidRPr="00A75D98" w:rsidR="000E0FFA">
        <w:rPr>
          <w:rFonts w:eastAsia="Times New Roman" w:cstheme="minorHAnsi"/>
          <w:lang w:eastAsia="en-GB"/>
        </w:rPr>
        <w:t>To assess due diligence information in relation to collaborative research and enterprise projects with third party partners identified as medium or high risk (based on the risk assessment matrix [link]) through the University’s ACP governance checks or through other routes and in accordance with funder requirements e.g. UKRI GCRF proposals.</w:t>
      </w:r>
    </w:p>
    <w:p w:rsidR="00A75D98" w:rsidP="00A75D98" w:rsidRDefault="00A75D98" w14:paraId="2CF8118F" w14:textId="77777777">
      <w:pPr>
        <w:spacing w:after="185" w:line="360" w:lineRule="atLeast"/>
        <w:contextualSpacing/>
        <w:rPr>
          <w:rFonts w:eastAsia="Times New Roman" w:cstheme="minorHAnsi"/>
          <w:lang w:eastAsia="en-GB"/>
        </w:rPr>
      </w:pPr>
    </w:p>
    <w:p w:rsidR="000E0FFA" w:rsidP="00A75D98" w:rsidRDefault="00A75D98" w14:paraId="2F68545F" w14:textId="3C7FEA33">
      <w:pPr>
        <w:spacing w:after="185" w:line="360" w:lineRule="atLeast"/>
        <w:contextualSpacing/>
        <w:rPr>
          <w:rFonts w:eastAsia="Times New Roman" w:cstheme="minorHAnsi"/>
          <w:lang w:eastAsia="en-GB"/>
        </w:rPr>
      </w:pPr>
      <w:r>
        <w:rPr>
          <w:rFonts w:eastAsia="Times New Roman" w:cstheme="minorHAnsi"/>
          <w:lang w:eastAsia="en-GB"/>
        </w:rPr>
        <w:t xml:space="preserve">4.1.2 </w:t>
      </w:r>
      <w:r w:rsidRPr="00A75D98" w:rsidR="000E0FFA">
        <w:rPr>
          <w:rFonts w:eastAsia="Times New Roman" w:cstheme="minorHAnsi"/>
          <w:lang w:eastAsia="en-GB"/>
        </w:rPr>
        <w:t>To evaluate the likely legal, financial, reputational, regulatory, safety and other risks identified on, but not limited to, the University’s due diligence questionnaire</w:t>
      </w:r>
      <w:r w:rsidR="00085C8F">
        <w:rPr>
          <w:rFonts w:eastAsia="Times New Roman" w:cstheme="minorHAnsi"/>
          <w:lang w:eastAsia="en-GB"/>
        </w:rPr>
        <w:t xml:space="preserve"> </w:t>
      </w:r>
      <w:r w:rsidR="006A6791">
        <w:rPr>
          <w:rFonts w:eastAsia="Times New Roman" w:cstheme="minorHAnsi"/>
          <w:lang w:eastAsia="en-GB"/>
        </w:rPr>
        <w:t xml:space="preserve">and checklists </w:t>
      </w:r>
      <w:r w:rsidR="00085C8F">
        <w:rPr>
          <w:rFonts w:eastAsia="Times New Roman" w:cstheme="minorHAnsi"/>
          <w:lang w:eastAsia="en-GB"/>
        </w:rPr>
        <w:t>(</w:t>
      </w:r>
      <w:r w:rsidR="006A6791">
        <w:rPr>
          <w:rFonts w:eastAsia="Times New Roman" w:cstheme="minorHAnsi"/>
          <w:lang w:eastAsia="en-GB"/>
        </w:rPr>
        <w:t xml:space="preserve">which includes checks on country assessment, sanction lists, corruption index and FCDO advice for example). </w:t>
      </w:r>
      <w:r w:rsidRPr="00A75D98" w:rsidR="000E0FFA">
        <w:rPr>
          <w:rFonts w:eastAsia="Times New Roman" w:cstheme="minorHAnsi"/>
          <w:lang w:eastAsia="en-GB"/>
        </w:rPr>
        <w:t xml:space="preserve"> </w:t>
      </w:r>
    </w:p>
    <w:p w:rsidRPr="00A75D98" w:rsidR="00A75D98" w:rsidP="00A75D98" w:rsidRDefault="00A75D98" w14:paraId="087EDD5C" w14:textId="77777777">
      <w:pPr>
        <w:spacing w:after="185" w:line="360" w:lineRule="atLeast"/>
        <w:contextualSpacing/>
        <w:rPr>
          <w:rFonts w:eastAsia="Times New Roman" w:cstheme="minorHAnsi"/>
          <w:lang w:eastAsia="en-GB"/>
        </w:rPr>
      </w:pPr>
    </w:p>
    <w:p w:rsidR="000E0FFA" w:rsidP="00A75D98" w:rsidRDefault="00A75D98" w14:paraId="499F3A13" w14:textId="124882FE">
      <w:pPr>
        <w:spacing w:after="185" w:line="360" w:lineRule="atLeast"/>
        <w:contextualSpacing/>
        <w:rPr>
          <w:rFonts w:eastAsia="Times New Roman" w:cstheme="minorHAnsi"/>
          <w:lang w:eastAsia="en-GB"/>
        </w:rPr>
      </w:pPr>
      <w:r>
        <w:rPr>
          <w:rFonts w:eastAsia="Times New Roman" w:cstheme="minorHAnsi"/>
          <w:lang w:eastAsia="en-GB"/>
        </w:rPr>
        <w:t xml:space="preserve">4.1.3 </w:t>
      </w:r>
      <w:r w:rsidRPr="00A75D98" w:rsidR="000E0FFA">
        <w:rPr>
          <w:rFonts w:eastAsia="Times New Roman" w:cstheme="minorHAnsi"/>
          <w:lang w:eastAsia="en-GB"/>
        </w:rPr>
        <w:t xml:space="preserve">To give </w:t>
      </w:r>
      <w:r w:rsidRPr="00110854" w:rsidR="000E0FFA">
        <w:rPr>
          <w:rFonts w:eastAsia="Times New Roman" w:cstheme="minorHAnsi"/>
          <w:b/>
          <w:lang w:eastAsia="en-GB"/>
        </w:rPr>
        <w:t>REDD Panel</w:t>
      </w:r>
      <w:r w:rsidRPr="00A75D98" w:rsidR="000E0FFA">
        <w:rPr>
          <w:rFonts w:eastAsia="Times New Roman" w:cstheme="minorHAnsi"/>
          <w:lang w:eastAsia="en-GB"/>
        </w:rPr>
        <w:t xml:space="preserve"> </w:t>
      </w:r>
      <w:r w:rsidRPr="00A75D98" w:rsidR="000E0FFA">
        <w:rPr>
          <w:rFonts w:eastAsia="Times New Roman" w:cstheme="minorHAnsi"/>
          <w:b/>
          <w:lang w:eastAsia="en-GB"/>
        </w:rPr>
        <w:t>approval</w:t>
      </w:r>
      <w:r w:rsidRPr="00A75D98" w:rsidR="000E0FFA">
        <w:rPr>
          <w:rFonts w:eastAsia="Times New Roman" w:cstheme="minorHAnsi"/>
          <w:lang w:eastAsia="en-GB"/>
        </w:rPr>
        <w:t xml:space="preserve">, </w:t>
      </w:r>
      <w:r w:rsidRPr="00A75D98" w:rsidR="000E0FFA">
        <w:rPr>
          <w:rFonts w:eastAsia="Times New Roman" w:cstheme="minorHAnsi"/>
          <w:b/>
          <w:lang w:eastAsia="en-GB"/>
        </w:rPr>
        <w:t xml:space="preserve">approval with </w:t>
      </w:r>
      <w:r w:rsidRPr="00110854" w:rsidR="000E0FFA">
        <w:rPr>
          <w:rFonts w:eastAsia="Times New Roman" w:cstheme="minorHAnsi"/>
          <w:b/>
          <w:lang w:eastAsia="en-GB"/>
        </w:rPr>
        <w:t>conditions or</w:t>
      </w:r>
      <w:r w:rsidRPr="00A75D98" w:rsidR="000E0FFA">
        <w:rPr>
          <w:rFonts w:eastAsia="Times New Roman" w:cstheme="minorHAnsi"/>
          <w:lang w:eastAsia="en-GB"/>
        </w:rPr>
        <w:t xml:space="preserve"> </w:t>
      </w:r>
      <w:r w:rsidRPr="00A75D98" w:rsidR="000E0FFA">
        <w:rPr>
          <w:rFonts w:eastAsia="Times New Roman" w:cstheme="minorHAnsi"/>
          <w:b/>
          <w:lang w:eastAsia="en-GB"/>
        </w:rPr>
        <w:t>non-approval</w:t>
      </w:r>
      <w:r w:rsidRPr="00A75D98" w:rsidR="000E0FFA">
        <w:rPr>
          <w:rFonts w:eastAsia="Times New Roman" w:cstheme="minorHAnsi"/>
          <w:lang w:eastAsia="en-GB"/>
        </w:rPr>
        <w:t xml:space="preserve"> of research and enterprise project partners identified as medium risk on financial and operational assessment, based on the risk assessment matrix.</w:t>
      </w:r>
    </w:p>
    <w:p w:rsidRPr="006E256E" w:rsidR="00A75D98" w:rsidP="00A75D98" w:rsidRDefault="00A75D98" w14:paraId="78F1B6A8" w14:textId="77777777">
      <w:pPr>
        <w:spacing w:after="185" w:line="360" w:lineRule="atLeast"/>
        <w:contextualSpacing/>
        <w:rPr>
          <w:rFonts w:eastAsia="Times New Roman" w:cstheme="minorHAnsi"/>
          <w:lang w:eastAsia="en-GB"/>
        </w:rPr>
      </w:pPr>
    </w:p>
    <w:p w:rsidRPr="00A75D98" w:rsidR="000E0FFA" w:rsidP="00A75D98" w:rsidRDefault="00A75D98" w14:paraId="7C83CA6F" w14:textId="63FE7896">
      <w:pPr>
        <w:spacing w:after="185" w:line="360" w:lineRule="atLeast"/>
        <w:contextualSpacing/>
        <w:rPr>
          <w:rFonts w:eastAsia="Times New Roman" w:cstheme="minorHAnsi"/>
          <w:lang w:eastAsia="en-GB"/>
        </w:rPr>
      </w:pPr>
      <w:r>
        <w:rPr>
          <w:rFonts w:eastAsia="Times New Roman" w:cstheme="minorHAnsi"/>
          <w:lang w:eastAsia="en-GB"/>
        </w:rPr>
        <w:t xml:space="preserve">4.1.4 </w:t>
      </w:r>
      <w:r w:rsidRPr="00A75D98" w:rsidR="000E0FFA">
        <w:rPr>
          <w:rFonts w:eastAsia="Times New Roman" w:cstheme="minorHAnsi"/>
          <w:lang w:eastAsia="en-GB"/>
        </w:rPr>
        <w:t xml:space="preserve">To </w:t>
      </w:r>
      <w:r w:rsidRPr="00A75D98" w:rsidR="005705EF">
        <w:rPr>
          <w:rFonts w:eastAsia="Times New Roman" w:cstheme="minorHAnsi"/>
          <w:lang w:eastAsia="en-GB"/>
        </w:rPr>
        <w:t xml:space="preserve">make </w:t>
      </w:r>
      <w:r w:rsidRPr="00110854" w:rsidR="005705EF">
        <w:rPr>
          <w:rFonts w:eastAsia="Times New Roman" w:cstheme="minorHAnsi"/>
          <w:b/>
          <w:lang w:eastAsia="en-GB"/>
        </w:rPr>
        <w:t>REDD Panel</w:t>
      </w:r>
      <w:r w:rsidR="005705EF">
        <w:rPr>
          <w:rFonts w:eastAsia="Times New Roman" w:cstheme="minorHAnsi"/>
          <w:lang w:eastAsia="en-GB"/>
        </w:rPr>
        <w:t xml:space="preserve"> </w:t>
      </w:r>
      <w:r w:rsidRPr="00A75D98" w:rsidR="005705EF">
        <w:rPr>
          <w:rFonts w:eastAsia="Times New Roman" w:cstheme="minorHAnsi"/>
          <w:b/>
          <w:lang w:eastAsia="en-GB"/>
        </w:rPr>
        <w:t>recommendations</w:t>
      </w:r>
      <w:r w:rsidRPr="00A75D98" w:rsidR="005705EF">
        <w:rPr>
          <w:rFonts w:eastAsia="Times New Roman" w:cstheme="minorHAnsi"/>
          <w:lang w:eastAsia="en-GB"/>
        </w:rPr>
        <w:t xml:space="preserve"> </w:t>
      </w:r>
      <w:r w:rsidR="005705EF">
        <w:rPr>
          <w:rFonts w:eastAsia="Times New Roman" w:cstheme="minorHAnsi"/>
          <w:b/>
          <w:lang w:eastAsia="en-GB"/>
        </w:rPr>
        <w:t>for approval</w:t>
      </w:r>
      <w:r w:rsidR="00110854">
        <w:rPr>
          <w:rFonts w:eastAsia="Times New Roman" w:cstheme="minorHAnsi"/>
          <w:b/>
          <w:lang w:eastAsia="en-GB"/>
        </w:rPr>
        <w:t>,</w:t>
      </w:r>
      <w:r w:rsidR="005705EF">
        <w:rPr>
          <w:rFonts w:eastAsia="Times New Roman" w:cstheme="minorHAnsi"/>
          <w:b/>
          <w:lang w:eastAsia="en-GB"/>
        </w:rPr>
        <w:t xml:space="preserve"> </w:t>
      </w:r>
      <w:r w:rsidRPr="00A75D98" w:rsidR="00110854">
        <w:rPr>
          <w:rFonts w:eastAsia="Times New Roman" w:cstheme="minorHAnsi"/>
          <w:b/>
          <w:lang w:eastAsia="en-GB"/>
        </w:rPr>
        <w:t>approval with conditions</w:t>
      </w:r>
      <w:r w:rsidRPr="00A75D98" w:rsidR="00110854">
        <w:rPr>
          <w:rFonts w:eastAsia="Times New Roman" w:cstheme="minorHAnsi"/>
          <w:lang w:eastAsia="en-GB"/>
        </w:rPr>
        <w:t xml:space="preserve"> </w:t>
      </w:r>
      <w:r w:rsidR="005705EF">
        <w:rPr>
          <w:rFonts w:eastAsia="Times New Roman" w:cstheme="minorHAnsi"/>
          <w:b/>
          <w:lang w:eastAsia="en-GB"/>
        </w:rPr>
        <w:t xml:space="preserve">or </w:t>
      </w:r>
      <w:r w:rsidRPr="005705EF" w:rsidR="005705EF">
        <w:rPr>
          <w:rFonts w:eastAsia="Times New Roman" w:cstheme="minorHAnsi"/>
          <w:b/>
          <w:lang w:eastAsia="en-GB"/>
        </w:rPr>
        <w:t>non-approval</w:t>
      </w:r>
      <w:r w:rsidRPr="00A75D98" w:rsidR="005705EF">
        <w:rPr>
          <w:rFonts w:eastAsia="Times New Roman" w:cstheme="minorHAnsi"/>
          <w:lang w:eastAsia="en-GB"/>
        </w:rPr>
        <w:t xml:space="preserve"> </w:t>
      </w:r>
      <w:r w:rsidRPr="00A75D98" w:rsidR="000E0FFA">
        <w:rPr>
          <w:rFonts w:eastAsia="Times New Roman" w:cstheme="minorHAnsi"/>
          <w:lang w:eastAsia="en-GB"/>
        </w:rPr>
        <w:t>to the Pro Vice Chancellor for Research and Enterprise for final decisions o</w:t>
      </w:r>
      <w:r w:rsidR="005705EF">
        <w:rPr>
          <w:rFonts w:eastAsia="Times New Roman" w:cstheme="minorHAnsi"/>
          <w:lang w:eastAsia="en-GB"/>
        </w:rPr>
        <w:t>n</w:t>
      </w:r>
      <w:r w:rsidRPr="00A75D98" w:rsidR="000E0FFA">
        <w:rPr>
          <w:rFonts w:eastAsia="Times New Roman" w:cstheme="minorHAnsi"/>
          <w:lang w:eastAsia="en-GB"/>
        </w:rPr>
        <w:t>:</w:t>
      </w:r>
    </w:p>
    <w:p w:rsidRPr="00A75D98" w:rsidR="000E0FFA" w:rsidP="00A75D98" w:rsidRDefault="000E0FFA" w14:paraId="66F9F4DD" w14:textId="77777777">
      <w:pPr>
        <w:pStyle w:val="ListParagraph"/>
        <w:numPr>
          <w:ilvl w:val="0"/>
          <w:numId w:val="24"/>
        </w:numPr>
        <w:spacing w:after="185" w:line="360" w:lineRule="atLeast"/>
        <w:contextualSpacing/>
        <w:rPr>
          <w:rFonts w:eastAsia="Times New Roman" w:cstheme="minorHAnsi"/>
          <w:lang w:eastAsia="en-GB"/>
        </w:rPr>
      </w:pPr>
      <w:r w:rsidRPr="00A75D98">
        <w:rPr>
          <w:rFonts w:eastAsia="Times New Roman" w:cstheme="minorHAnsi"/>
          <w:lang w:eastAsia="en-GB"/>
        </w:rPr>
        <w:t>research and enterprise funders or project partners on reputational assessment,</w:t>
      </w:r>
    </w:p>
    <w:p w:rsidR="000E0FFA" w:rsidP="00A75D98" w:rsidRDefault="000E0FFA" w14:paraId="41BC1277" w14:textId="376B7F7C">
      <w:pPr>
        <w:pStyle w:val="ListParagraph"/>
        <w:numPr>
          <w:ilvl w:val="0"/>
          <w:numId w:val="24"/>
        </w:numPr>
        <w:spacing w:after="185" w:line="360" w:lineRule="atLeast"/>
        <w:contextualSpacing/>
        <w:rPr>
          <w:rFonts w:eastAsia="Times New Roman" w:cstheme="minorHAnsi"/>
          <w:lang w:eastAsia="en-GB"/>
        </w:rPr>
      </w:pPr>
      <w:r w:rsidRPr="00A75D98">
        <w:rPr>
          <w:rFonts w:eastAsia="Times New Roman" w:cstheme="minorHAnsi"/>
          <w:lang w:eastAsia="en-GB"/>
        </w:rPr>
        <w:t xml:space="preserve">research and enterprise funders or partners identified as high risk (financial or operational) on the risk assessment matrix. </w:t>
      </w:r>
    </w:p>
    <w:p w:rsidR="005705EF" w:rsidP="005705EF" w:rsidRDefault="005705EF" w14:paraId="32068B71" w14:textId="568D032D">
      <w:pPr>
        <w:spacing w:after="185" w:line="360" w:lineRule="atLeast"/>
        <w:contextualSpacing/>
        <w:rPr>
          <w:rFonts w:eastAsia="Times New Roman" w:cstheme="minorHAnsi"/>
          <w:lang w:eastAsia="en-GB"/>
        </w:rPr>
      </w:pPr>
      <w:r>
        <w:rPr>
          <w:rFonts w:eastAsia="Times New Roman" w:cstheme="minorHAnsi"/>
          <w:lang w:eastAsia="en-GB"/>
        </w:rPr>
        <w:t xml:space="preserve">The PVC </w:t>
      </w:r>
      <w:r w:rsidR="00110854">
        <w:rPr>
          <w:rFonts w:eastAsia="Times New Roman" w:cstheme="minorHAnsi"/>
          <w:lang w:eastAsia="en-GB"/>
        </w:rPr>
        <w:t>will</w:t>
      </w:r>
      <w:r>
        <w:rPr>
          <w:rFonts w:eastAsia="Times New Roman" w:cstheme="minorHAnsi"/>
          <w:lang w:eastAsia="en-GB"/>
        </w:rPr>
        <w:t xml:space="preserve"> escalate </w:t>
      </w:r>
      <w:r w:rsidRPr="00110854">
        <w:rPr>
          <w:rFonts w:eastAsia="Times New Roman" w:cstheme="minorHAnsi"/>
          <w:b/>
          <w:lang w:eastAsia="en-GB"/>
        </w:rPr>
        <w:t>recommendation</w:t>
      </w:r>
      <w:r w:rsidRPr="00110854" w:rsidR="00110854">
        <w:rPr>
          <w:rFonts w:eastAsia="Times New Roman" w:cstheme="minorHAnsi"/>
          <w:b/>
          <w:lang w:eastAsia="en-GB"/>
        </w:rPr>
        <w:t>s</w:t>
      </w:r>
      <w:r w:rsidRPr="00110854">
        <w:rPr>
          <w:rFonts w:eastAsia="Times New Roman" w:cstheme="minorHAnsi"/>
          <w:b/>
          <w:lang w:eastAsia="en-GB"/>
        </w:rPr>
        <w:t xml:space="preserve"> </w:t>
      </w:r>
      <w:r w:rsidRPr="00110854" w:rsidR="00110854">
        <w:rPr>
          <w:rFonts w:eastAsia="Times New Roman" w:cstheme="minorHAnsi"/>
          <w:b/>
          <w:lang w:eastAsia="en-GB"/>
        </w:rPr>
        <w:t>for approval with conditions</w:t>
      </w:r>
      <w:r w:rsidR="00110854">
        <w:rPr>
          <w:rFonts w:eastAsia="Times New Roman" w:cstheme="minorHAnsi"/>
          <w:lang w:eastAsia="en-GB"/>
        </w:rPr>
        <w:t xml:space="preserve"> </w:t>
      </w:r>
      <w:r>
        <w:rPr>
          <w:rFonts w:eastAsia="Times New Roman" w:cstheme="minorHAnsi"/>
          <w:lang w:eastAsia="en-GB"/>
        </w:rPr>
        <w:t>to the Vice-Chancellor for final decision</w:t>
      </w:r>
      <w:r w:rsidR="00110854">
        <w:rPr>
          <w:rFonts w:eastAsia="Times New Roman" w:cstheme="minorHAnsi"/>
          <w:lang w:eastAsia="en-GB"/>
        </w:rPr>
        <w:t>,</w:t>
      </w:r>
      <w:r>
        <w:rPr>
          <w:rFonts w:eastAsia="Times New Roman" w:cstheme="minorHAnsi"/>
          <w:lang w:eastAsia="en-GB"/>
        </w:rPr>
        <w:t xml:space="preserve"> </w:t>
      </w:r>
      <w:r w:rsidR="00110854">
        <w:rPr>
          <w:rFonts w:eastAsia="Times New Roman" w:cstheme="minorHAnsi"/>
          <w:lang w:eastAsia="en-GB"/>
        </w:rPr>
        <w:t xml:space="preserve">and may consider escalation of any </w:t>
      </w:r>
      <w:r>
        <w:rPr>
          <w:rFonts w:eastAsia="Times New Roman" w:cstheme="minorHAnsi"/>
          <w:lang w:eastAsia="en-GB"/>
        </w:rPr>
        <w:t xml:space="preserve">large-scale awards or potential for significant reputational impact. </w:t>
      </w:r>
      <w:r w:rsidR="004919B7">
        <w:rPr>
          <w:rFonts w:eastAsia="Times New Roman" w:cstheme="minorHAnsi"/>
          <w:lang w:eastAsia="en-GB"/>
        </w:rPr>
        <w:t>In exceptional circumstances, cases may require consideration by Council.</w:t>
      </w:r>
    </w:p>
    <w:p w:rsidR="00110854" w:rsidP="00110854" w:rsidRDefault="00110854" w14:paraId="0F6744BF" w14:textId="77777777">
      <w:pPr>
        <w:spacing w:after="185" w:line="360" w:lineRule="atLeast"/>
        <w:contextualSpacing/>
        <w:rPr>
          <w:rFonts w:eastAsia="Times New Roman" w:cstheme="minorHAnsi"/>
          <w:lang w:eastAsia="en-GB"/>
        </w:rPr>
      </w:pPr>
    </w:p>
    <w:p w:rsidR="00A75D98" w:rsidP="00A75D98" w:rsidRDefault="00A75D98" w14:paraId="72A432EC" w14:textId="77777777">
      <w:pPr>
        <w:spacing w:after="185" w:line="360" w:lineRule="atLeast"/>
        <w:contextualSpacing/>
        <w:rPr>
          <w:rFonts w:eastAsia="Times New Roman" w:cstheme="minorHAnsi"/>
          <w:lang w:eastAsia="en-GB"/>
        </w:rPr>
      </w:pPr>
      <w:r>
        <w:rPr>
          <w:rFonts w:eastAsia="Times New Roman" w:cstheme="minorHAnsi"/>
          <w:lang w:eastAsia="en-GB"/>
        </w:rPr>
        <w:t xml:space="preserve">4.1.5 </w:t>
      </w:r>
      <w:r w:rsidRPr="00A75D98" w:rsidR="000E0FFA">
        <w:rPr>
          <w:rFonts w:eastAsia="Times New Roman" w:cstheme="minorHAnsi"/>
          <w:lang w:eastAsia="en-GB"/>
        </w:rPr>
        <w:t>To reconsider due diligence information in light of changes to project plans, or changes to partner organisations brought forward to the REDDP that could materially affect the risk.</w:t>
      </w:r>
    </w:p>
    <w:p w:rsidR="00A75D98" w:rsidP="00A75D98" w:rsidRDefault="00A75D98" w14:paraId="337FB2B2" w14:textId="77777777">
      <w:pPr>
        <w:spacing w:after="185" w:line="360" w:lineRule="atLeast"/>
        <w:contextualSpacing/>
        <w:rPr>
          <w:rFonts w:eastAsia="Times New Roman" w:cstheme="minorHAnsi"/>
          <w:lang w:eastAsia="en-GB"/>
        </w:rPr>
      </w:pPr>
    </w:p>
    <w:p w:rsidR="000E0FFA" w:rsidP="00A75D98" w:rsidRDefault="00A75D98" w14:paraId="60E9CEF5" w14:textId="5A2C351C">
      <w:pPr>
        <w:spacing w:after="185" w:line="360" w:lineRule="atLeast"/>
        <w:contextualSpacing/>
        <w:rPr>
          <w:rFonts w:eastAsia="Times New Roman" w:cstheme="minorHAnsi"/>
          <w:lang w:eastAsia="en-GB"/>
        </w:rPr>
      </w:pPr>
      <w:r>
        <w:rPr>
          <w:rFonts w:eastAsia="Times New Roman" w:cstheme="minorHAnsi"/>
          <w:lang w:eastAsia="en-GB"/>
        </w:rPr>
        <w:t xml:space="preserve">4.1.6 </w:t>
      </w:r>
      <w:r w:rsidRPr="00A75D98" w:rsidR="000E0FFA">
        <w:rPr>
          <w:rFonts w:eastAsia="Times New Roman" w:cstheme="minorHAnsi"/>
          <w:lang w:eastAsia="en-GB"/>
        </w:rPr>
        <w:t xml:space="preserve">To maintain a list of organisations assessed through the due diligence process. Assessment of the organisations and subsequent decisions will stand for a period of 2 years without the need for re-assessment unless there are substantial changes to take into account. </w:t>
      </w:r>
    </w:p>
    <w:p w:rsidR="00A75D98" w:rsidP="00A75D98" w:rsidRDefault="00A75D98" w14:paraId="6CFE6BF4" w14:textId="77777777">
      <w:pPr>
        <w:spacing w:after="185" w:line="360" w:lineRule="atLeast"/>
        <w:contextualSpacing/>
        <w:rPr>
          <w:rFonts w:eastAsia="Times New Roman" w:cstheme="minorHAnsi"/>
          <w:lang w:eastAsia="en-GB"/>
        </w:rPr>
      </w:pPr>
    </w:p>
    <w:p w:rsidR="00416C82" w:rsidP="00A75D98" w:rsidRDefault="00416C82" w14:paraId="6217D315" w14:textId="77777777">
      <w:pPr>
        <w:spacing w:after="185" w:line="360" w:lineRule="atLeast"/>
        <w:contextualSpacing/>
        <w:rPr>
          <w:rFonts w:eastAsia="Times New Roman" w:cstheme="minorHAnsi"/>
          <w:lang w:eastAsia="en-GB"/>
        </w:rPr>
      </w:pPr>
    </w:p>
    <w:p w:rsidRPr="00A75D98" w:rsidR="000E0FFA" w:rsidP="00A75D98" w:rsidRDefault="00A75D98" w14:paraId="04B588DD" w14:textId="79D456EE">
      <w:pPr>
        <w:spacing w:after="185" w:line="360" w:lineRule="atLeast"/>
        <w:contextualSpacing/>
        <w:rPr>
          <w:rFonts w:eastAsia="Times New Roman" w:cstheme="minorHAnsi"/>
          <w:lang w:eastAsia="en-GB"/>
        </w:rPr>
      </w:pPr>
      <w:r>
        <w:rPr>
          <w:rFonts w:eastAsia="Times New Roman" w:cstheme="minorHAnsi"/>
          <w:lang w:eastAsia="en-GB"/>
        </w:rPr>
        <w:t xml:space="preserve">4.1.7 </w:t>
      </w:r>
      <w:r w:rsidRPr="00A75D98" w:rsidR="000E0FFA">
        <w:rPr>
          <w:rFonts w:eastAsia="Times New Roman" w:cstheme="minorHAnsi"/>
          <w:lang w:eastAsia="en-GB"/>
        </w:rPr>
        <w:t>To review research and enterprise due diligence processes periodically to ensure they are fit for purpose and address external compliance requirements.</w:t>
      </w:r>
    </w:p>
    <w:p w:rsidR="000E0FFA" w:rsidP="000E0FFA" w:rsidRDefault="000E0FFA" w14:paraId="4350436D" w14:textId="77777777">
      <w:pPr>
        <w:pStyle w:val="Heading3"/>
        <w:rPr>
          <w:rFonts w:eastAsia="Times New Roman"/>
          <w:lang w:eastAsia="en-GB"/>
        </w:rPr>
      </w:pPr>
    </w:p>
    <w:p w:rsidRPr="00BA2AE5" w:rsidR="000E0FFA" w:rsidP="000E0FFA" w:rsidRDefault="00A75D98" w14:paraId="79378ED3" w14:textId="12E8585A">
      <w:pPr>
        <w:pStyle w:val="Heading3"/>
        <w:rPr>
          <w:rFonts w:eastAsia="Times New Roman"/>
          <w:b/>
          <w:lang w:eastAsia="en-GB"/>
        </w:rPr>
      </w:pPr>
      <w:r>
        <w:rPr>
          <w:rFonts w:eastAsia="Times New Roman"/>
          <w:b/>
          <w:lang w:eastAsia="en-GB"/>
        </w:rPr>
        <w:t xml:space="preserve">5. </w:t>
      </w:r>
      <w:r w:rsidRPr="0045265E" w:rsidR="000E0FFA">
        <w:rPr>
          <w:rFonts w:eastAsia="Times New Roman"/>
          <w:b/>
          <w:lang w:eastAsia="en-GB"/>
        </w:rPr>
        <w:t>Approvals and Reporting Relationship</w:t>
      </w:r>
    </w:p>
    <w:p w:rsidRPr="00C35DC5" w:rsidR="000E0FFA" w:rsidP="000E0FFA" w:rsidRDefault="00A75D98" w14:paraId="636F39DF" w14:textId="6043AE77">
      <w:pPr>
        <w:spacing w:after="185" w:line="360" w:lineRule="atLeast"/>
        <w:rPr>
          <w:rFonts w:eastAsia="Times New Roman" w:cstheme="minorHAnsi"/>
          <w:b/>
          <w:lang w:eastAsia="en-GB"/>
        </w:rPr>
      </w:pPr>
      <w:r>
        <w:rPr>
          <w:rFonts w:eastAsia="Times New Roman" w:cstheme="minorHAnsi"/>
          <w:b/>
          <w:u w:val="single"/>
          <w:lang w:eastAsia="en-GB"/>
        </w:rPr>
        <w:t>5.1 F</w:t>
      </w:r>
      <w:r w:rsidRPr="00D9796C" w:rsidR="000E0FFA">
        <w:rPr>
          <w:rFonts w:eastAsia="Times New Roman" w:cstheme="minorHAnsi"/>
          <w:b/>
          <w:u w:val="single"/>
          <w:lang w:eastAsia="en-GB"/>
        </w:rPr>
        <w:t>inancial and operational risk assessment</w:t>
      </w:r>
      <w:r w:rsidR="000E0FFA">
        <w:rPr>
          <w:rFonts w:eastAsia="Times New Roman" w:cstheme="minorHAnsi"/>
          <w:b/>
          <w:lang w:eastAsia="en-GB"/>
        </w:rPr>
        <w:t>,</w:t>
      </w:r>
      <w:r w:rsidRPr="00C35DC5" w:rsidR="000E0FFA">
        <w:rPr>
          <w:rFonts w:eastAsia="Times New Roman" w:cstheme="minorHAnsi"/>
          <w:b/>
          <w:lang w:eastAsia="en-GB"/>
        </w:rPr>
        <w:t xml:space="preserve"> </w:t>
      </w:r>
      <w:r w:rsidRPr="00C35DC5" w:rsidR="000E0FFA">
        <w:rPr>
          <w:rFonts w:eastAsia="Times New Roman" w:cstheme="minorHAnsi"/>
          <w:lang w:eastAsia="en-GB"/>
        </w:rPr>
        <w:t>the R</w:t>
      </w:r>
      <w:r w:rsidR="000E0FFA">
        <w:rPr>
          <w:rFonts w:eastAsia="Times New Roman" w:cstheme="minorHAnsi"/>
          <w:lang w:eastAsia="en-GB"/>
        </w:rPr>
        <w:t>E</w:t>
      </w:r>
      <w:r w:rsidRPr="00C35DC5" w:rsidR="000E0FFA">
        <w:rPr>
          <w:rFonts w:eastAsia="Times New Roman" w:cstheme="minorHAnsi"/>
          <w:lang w:eastAsia="en-GB"/>
        </w:rPr>
        <w:t>DDP will either</w:t>
      </w:r>
      <w:r w:rsidRPr="00C35DC5" w:rsidR="000E0FFA">
        <w:rPr>
          <w:rFonts w:eastAsia="Times New Roman" w:cstheme="minorHAnsi"/>
          <w:b/>
          <w:lang w:eastAsia="en-GB"/>
        </w:rPr>
        <w:t>:</w:t>
      </w:r>
    </w:p>
    <w:p w:rsidRPr="00A75D98" w:rsidR="000E0FFA" w:rsidP="00EE463E" w:rsidRDefault="000E0FFA" w14:paraId="3D0C1EB7" w14:textId="16B0029D">
      <w:pPr>
        <w:pStyle w:val="ListParagraph"/>
        <w:numPr>
          <w:ilvl w:val="0"/>
          <w:numId w:val="25"/>
        </w:numPr>
        <w:spacing w:after="185" w:line="360" w:lineRule="atLeast"/>
        <w:ind w:left="714" w:hanging="357"/>
        <w:contextualSpacing/>
        <w:rPr>
          <w:rFonts w:eastAsia="Times New Roman" w:cstheme="minorHAnsi"/>
          <w:lang w:eastAsia="en-GB"/>
        </w:rPr>
      </w:pPr>
      <w:r w:rsidRPr="00A75D98">
        <w:rPr>
          <w:rFonts w:eastAsia="Times New Roman" w:cstheme="minorHAnsi"/>
          <w:b/>
          <w:lang w:eastAsia="en-GB"/>
        </w:rPr>
        <w:t>Approve</w:t>
      </w:r>
      <w:r w:rsidRPr="00A75D98">
        <w:rPr>
          <w:rFonts w:eastAsia="Times New Roman" w:cstheme="minorHAnsi"/>
          <w:lang w:eastAsia="en-GB"/>
        </w:rPr>
        <w:t xml:space="preserve"> (deemed to be acceptable medium risk with no </w:t>
      </w:r>
      <w:r w:rsidR="00D01BD5">
        <w:rPr>
          <w:rFonts w:eastAsia="Times New Roman" w:cstheme="minorHAnsi"/>
          <w:lang w:eastAsia="en-GB"/>
        </w:rPr>
        <w:t xml:space="preserve">outstanding concerns and no </w:t>
      </w:r>
      <w:r w:rsidRPr="00A75D98">
        <w:rPr>
          <w:rFonts w:eastAsia="Times New Roman" w:cstheme="minorHAnsi"/>
          <w:lang w:eastAsia="en-GB"/>
        </w:rPr>
        <w:t>identifiable mitigations required)</w:t>
      </w:r>
    </w:p>
    <w:p w:rsidRPr="00A75D98" w:rsidR="000E0FFA" w:rsidP="00EE463E" w:rsidRDefault="000E0FFA" w14:paraId="1503323E" w14:textId="3E2184F9">
      <w:pPr>
        <w:pStyle w:val="ListParagraph"/>
        <w:numPr>
          <w:ilvl w:val="0"/>
          <w:numId w:val="25"/>
        </w:numPr>
        <w:spacing w:after="185" w:line="360" w:lineRule="atLeast"/>
        <w:ind w:left="714" w:hanging="357"/>
        <w:contextualSpacing/>
        <w:rPr>
          <w:rFonts w:eastAsia="Times New Roman" w:cstheme="minorHAnsi"/>
          <w:lang w:eastAsia="en-GB"/>
        </w:rPr>
      </w:pPr>
      <w:r w:rsidRPr="00A75D98">
        <w:rPr>
          <w:rFonts w:eastAsia="Times New Roman" w:cstheme="minorHAnsi"/>
          <w:b/>
          <w:lang w:eastAsia="en-GB"/>
        </w:rPr>
        <w:t>Approve with conditions</w:t>
      </w:r>
      <w:r w:rsidRPr="00A75D98">
        <w:rPr>
          <w:rFonts w:eastAsia="Times New Roman" w:cstheme="minorHAnsi"/>
          <w:lang w:eastAsia="en-GB"/>
        </w:rPr>
        <w:t xml:space="preserve"> (where identified risks can be mitigated e.g. in collaboration agreements such as revised payment terms, IP clauses or where further information is requested)</w:t>
      </w:r>
    </w:p>
    <w:p w:rsidRPr="00A75D98" w:rsidR="000E0FFA" w:rsidP="00EE463E" w:rsidRDefault="000E0FFA" w14:paraId="36AB2D3F" w14:textId="6C9C997E">
      <w:pPr>
        <w:pStyle w:val="ListParagraph"/>
        <w:numPr>
          <w:ilvl w:val="0"/>
          <w:numId w:val="25"/>
        </w:numPr>
        <w:spacing w:after="185" w:line="360" w:lineRule="atLeast"/>
        <w:ind w:left="714" w:hanging="357"/>
        <w:contextualSpacing/>
        <w:rPr>
          <w:rFonts w:eastAsia="Times New Roman" w:cstheme="minorHAnsi"/>
          <w:lang w:eastAsia="en-GB"/>
        </w:rPr>
      </w:pPr>
      <w:r w:rsidRPr="00A75D98">
        <w:rPr>
          <w:rFonts w:eastAsia="Times New Roman" w:cstheme="minorHAnsi"/>
          <w:b/>
          <w:lang w:eastAsia="en-GB"/>
        </w:rPr>
        <w:t>Not Approve</w:t>
      </w:r>
      <w:r w:rsidRPr="00A75D98">
        <w:rPr>
          <w:rFonts w:eastAsia="Times New Roman" w:cstheme="minorHAnsi"/>
          <w:lang w:eastAsia="en-GB"/>
        </w:rPr>
        <w:t xml:space="preserve"> </w:t>
      </w:r>
    </w:p>
    <w:p w:rsidR="000E0FFA" w:rsidP="000E0FFA" w:rsidRDefault="000E0FFA" w14:paraId="5FF3909E" w14:textId="77777777">
      <w:pPr>
        <w:pStyle w:val="Heading3"/>
        <w:rPr>
          <w:rFonts w:eastAsia="Times New Roman"/>
          <w:b/>
          <w:lang w:eastAsia="en-GB"/>
        </w:rPr>
      </w:pPr>
    </w:p>
    <w:p w:rsidR="009B7306" w:rsidP="000E0FFA" w:rsidRDefault="00A75D98" w14:paraId="3C0165CA" w14:textId="7D6EF868">
      <w:pPr>
        <w:spacing w:after="185" w:line="360" w:lineRule="atLeast"/>
        <w:rPr>
          <w:rFonts w:eastAsia="Times New Roman" w:cstheme="minorHAnsi"/>
          <w:lang w:eastAsia="en-GB"/>
        </w:rPr>
      </w:pPr>
      <w:r>
        <w:rPr>
          <w:rFonts w:eastAsia="Times New Roman" w:cstheme="minorHAnsi"/>
          <w:b/>
          <w:u w:val="single"/>
          <w:lang w:eastAsia="en-GB"/>
        </w:rPr>
        <w:t xml:space="preserve">5.2 </w:t>
      </w:r>
      <w:r w:rsidRPr="00D9796C" w:rsidR="000E0FFA">
        <w:rPr>
          <w:rFonts w:eastAsia="Times New Roman" w:cstheme="minorHAnsi"/>
          <w:b/>
          <w:u w:val="single"/>
          <w:lang w:eastAsia="en-GB"/>
        </w:rPr>
        <w:t xml:space="preserve">For </w:t>
      </w:r>
      <w:r w:rsidR="006A3C0C">
        <w:rPr>
          <w:rFonts w:eastAsia="Times New Roman" w:cstheme="minorHAnsi"/>
          <w:b/>
          <w:u w:val="single"/>
          <w:lang w:eastAsia="en-GB"/>
        </w:rPr>
        <w:t xml:space="preserve">all reputational </w:t>
      </w:r>
      <w:r w:rsidRPr="006A3C0C" w:rsidR="006A3C0C">
        <w:rPr>
          <w:rFonts w:eastAsia="Times New Roman" w:cstheme="minorHAnsi"/>
          <w:b/>
          <w:u w:val="single"/>
          <w:lang w:eastAsia="en-GB"/>
        </w:rPr>
        <w:t xml:space="preserve">and </w:t>
      </w:r>
      <w:r w:rsidR="006A3C0C">
        <w:rPr>
          <w:rFonts w:eastAsia="Times New Roman" w:cstheme="minorHAnsi"/>
          <w:b/>
          <w:u w:val="single"/>
          <w:lang w:eastAsia="en-GB"/>
        </w:rPr>
        <w:t xml:space="preserve">for </w:t>
      </w:r>
      <w:r w:rsidRPr="006A3C0C" w:rsidR="006A3C0C">
        <w:rPr>
          <w:rFonts w:eastAsia="Times New Roman" w:cstheme="minorHAnsi"/>
          <w:b/>
          <w:u w:val="single"/>
          <w:lang w:eastAsia="en-GB"/>
        </w:rPr>
        <w:t>high</w:t>
      </w:r>
      <w:r w:rsidR="006A3C0C">
        <w:rPr>
          <w:rFonts w:eastAsia="Times New Roman" w:cstheme="minorHAnsi"/>
          <w:b/>
          <w:u w:val="single"/>
          <w:lang w:eastAsia="en-GB"/>
        </w:rPr>
        <w:t>-</w:t>
      </w:r>
      <w:r w:rsidRPr="006A3C0C" w:rsidR="006A3C0C">
        <w:rPr>
          <w:rFonts w:eastAsia="Times New Roman" w:cstheme="minorHAnsi"/>
          <w:b/>
          <w:u w:val="single"/>
          <w:lang w:eastAsia="en-GB"/>
        </w:rPr>
        <w:t>risk financial and operational risk assessment</w:t>
      </w:r>
      <w:r w:rsidR="006A3C0C">
        <w:rPr>
          <w:rFonts w:eastAsia="Times New Roman" w:cstheme="minorHAnsi"/>
          <w:b/>
          <w:u w:val="single"/>
          <w:lang w:eastAsia="en-GB"/>
        </w:rPr>
        <w:t>s</w:t>
      </w:r>
      <w:r w:rsidRPr="006A3C0C" w:rsidR="006A3C0C">
        <w:rPr>
          <w:rFonts w:eastAsia="Times New Roman" w:cstheme="minorHAnsi"/>
          <w:b/>
          <w:u w:val="single"/>
          <w:lang w:eastAsia="en-GB"/>
        </w:rPr>
        <w:t xml:space="preserve"> </w:t>
      </w:r>
      <w:r w:rsidR="000E0FFA">
        <w:rPr>
          <w:rFonts w:eastAsia="Times New Roman" w:cstheme="minorHAnsi"/>
          <w:lang w:eastAsia="en-GB"/>
        </w:rPr>
        <w:t>t</w:t>
      </w:r>
      <w:r w:rsidRPr="006E256E" w:rsidR="000E0FFA">
        <w:rPr>
          <w:rFonts w:eastAsia="Times New Roman" w:cstheme="minorHAnsi"/>
          <w:lang w:eastAsia="en-GB"/>
        </w:rPr>
        <w:t>he R</w:t>
      </w:r>
      <w:r w:rsidR="000E0FFA">
        <w:rPr>
          <w:rFonts w:eastAsia="Times New Roman" w:cstheme="minorHAnsi"/>
          <w:lang w:eastAsia="en-GB"/>
        </w:rPr>
        <w:t>E</w:t>
      </w:r>
      <w:r w:rsidRPr="006E256E" w:rsidR="000E0FFA">
        <w:rPr>
          <w:rFonts w:eastAsia="Times New Roman" w:cstheme="minorHAnsi"/>
          <w:lang w:eastAsia="en-GB"/>
        </w:rPr>
        <w:t>DDP will</w:t>
      </w:r>
      <w:r>
        <w:rPr>
          <w:rFonts w:eastAsia="Times New Roman" w:cstheme="minorHAnsi"/>
          <w:lang w:eastAsia="en-GB"/>
        </w:rPr>
        <w:t xml:space="preserve"> </w:t>
      </w:r>
      <w:r w:rsidRPr="006E256E" w:rsidR="000E0FFA">
        <w:rPr>
          <w:rFonts w:eastAsia="Times New Roman" w:cstheme="minorHAnsi"/>
          <w:lang w:eastAsia="en-GB"/>
        </w:rPr>
        <w:t xml:space="preserve">review cases and </w:t>
      </w:r>
      <w:r w:rsidR="000E0FFA">
        <w:rPr>
          <w:rFonts w:eastAsia="Times New Roman" w:cstheme="minorHAnsi"/>
          <w:lang w:eastAsia="en-GB"/>
        </w:rPr>
        <w:t xml:space="preserve">make </w:t>
      </w:r>
      <w:r w:rsidRPr="00C35DC5" w:rsidR="000E0FFA">
        <w:rPr>
          <w:rFonts w:eastAsia="Times New Roman" w:cstheme="minorHAnsi"/>
          <w:b/>
          <w:lang w:eastAsia="en-GB"/>
        </w:rPr>
        <w:t>recommendations</w:t>
      </w:r>
      <w:r w:rsidR="009B7306">
        <w:rPr>
          <w:rFonts w:eastAsia="Times New Roman" w:cstheme="minorHAnsi"/>
          <w:lang w:eastAsia="en-GB"/>
        </w:rPr>
        <w:t xml:space="preserve"> to</w:t>
      </w:r>
      <w:r w:rsidR="000E0FFA">
        <w:rPr>
          <w:rFonts w:eastAsia="Times New Roman" w:cstheme="minorHAnsi"/>
          <w:lang w:eastAsia="en-GB"/>
        </w:rPr>
        <w:t xml:space="preserve"> the PVC Research and Enterprise </w:t>
      </w:r>
      <w:r w:rsidRPr="006E256E" w:rsidR="000E0FFA">
        <w:rPr>
          <w:rFonts w:eastAsia="Times New Roman" w:cstheme="minorHAnsi"/>
          <w:lang w:eastAsia="en-GB"/>
        </w:rPr>
        <w:t>for</w:t>
      </w:r>
      <w:r w:rsidR="009B7306">
        <w:rPr>
          <w:rFonts w:eastAsia="Times New Roman" w:cstheme="minorHAnsi"/>
          <w:lang w:eastAsia="en-GB"/>
        </w:rPr>
        <w:t>:</w:t>
      </w:r>
    </w:p>
    <w:p w:rsidR="009B7306" w:rsidP="00EE463E" w:rsidRDefault="009B7306" w14:paraId="48B943C5" w14:textId="22212D4A">
      <w:pPr>
        <w:pStyle w:val="ListParagraph"/>
        <w:numPr>
          <w:ilvl w:val="0"/>
          <w:numId w:val="28"/>
        </w:numPr>
        <w:spacing w:after="185" w:line="360" w:lineRule="atLeast"/>
        <w:ind w:left="714" w:hanging="357"/>
        <w:contextualSpacing/>
        <w:rPr>
          <w:rFonts w:eastAsia="Times New Roman" w:cstheme="minorHAnsi"/>
          <w:lang w:eastAsia="en-GB"/>
        </w:rPr>
      </w:pPr>
      <w:r>
        <w:rPr>
          <w:rFonts w:eastAsia="Times New Roman" w:cstheme="minorHAnsi"/>
          <w:lang w:eastAsia="en-GB"/>
        </w:rPr>
        <w:t>A</w:t>
      </w:r>
      <w:r>
        <w:rPr>
          <w:rFonts w:eastAsia="Times New Roman" w:cstheme="minorHAnsi"/>
          <w:b/>
          <w:lang w:eastAsia="en-GB"/>
        </w:rPr>
        <w:t xml:space="preserve">pproval </w:t>
      </w:r>
      <w:r w:rsidRPr="00A75D98">
        <w:rPr>
          <w:rFonts w:eastAsia="Times New Roman" w:cstheme="minorHAnsi"/>
          <w:lang w:eastAsia="en-GB"/>
        </w:rPr>
        <w:t xml:space="preserve">(deemed to be acceptable </w:t>
      </w:r>
      <w:r>
        <w:rPr>
          <w:rFonts w:eastAsia="Times New Roman" w:cstheme="minorHAnsi"/>
          <w:lang w:eastAsia="en-GB"/>
        </w:rPr>
        <w:t>high</w:t>
      </w:r>
      <w:r w:rsidRPr="00A75D98">
        <w:rPr>
          <w:rFonts w:eastAsia="Times New Roman" w:cstheme="minorHAnsi"/>
          <w:lang w:eastAsia="en-GB"/>
        </w:rPr>
        <w:t xml:space="preserve"> risk </w:t>
      </w:r>
      <w:r>
        <w:rPr>
          <w:rFonts w:eastAsia="Times New Roman" w:cstheme="minorHAnsi"/>
          <w:lang w:eastAsia="en-GB"/>
        </w:rPr>
        <w:t xml:space="preserve">and no </w:t>
      </w:r>
      <w:r w:rsidRPr="00A75D98">
        <w:rPr>
          <w:rFonts w:eastAsia="Times New Roman" w:cstheme="minorHAnsi"/>
          <w:lang w:eastAsia="en-GB"/>
        </w:rPr>
        <w:t>identifiable mitigations required)</w:t>
      </w:r>
    </w:p>
    <w:p w:rsidRPr="009B7306" w:rsidR="009B7306" w:rsidP="00EE463E" w:rsidRDefault="009B7306" w14:paraId="18DDA8A6" w14:textId="1D59B566">
      <w:pPr>
        <w:pStyle w:val="ListParagraph"/>
        <w:numPr>
          <w:ilvl w:val="0"/>
          <w:numId w:val="28"/>
        </w:numPr>
        <w:spacing w:after="185" w:line="360" w:lineRule="atLeast"/>
        <w:ind w:left="714" w:hanging="357"/>
        <w:contextualSpacing/>
        <w:rPr>
          <w:rFonts w:eastAsia="Times New Roman" w:cstheme="minorHAnsi"/>
          <w:lang w:eastAsia="en-GB"/>
        </w:rPr>
      </w:pPr>
      <w:r w:rsidRPr="009B7306">
        <w:rPr>
          <w:rFonts w:eastAsia="Times New Roman" w:cstheme="minorHAnsi"/>
          <w:b/>
          <w:lang w:eastAsia="en-GB"/>
        </w:rPr>
        <w:t>Approval with conditions</w:t>
      </w:r>
      <w:r w:rsidRPr="009B7306">
        <w:rPr>
          <w:rFonts w:eastAsia="Times New Roman" w:cstheme="minorHAnsi"/>
          <w:lang w:eastAsia="en-GB"/>
        </w:rPr>
        <w:t xml:space="preserve"> (where identified risks can be mitigated e.g. in collaboration agreements such as revised payment terms, IP claus</w:t>
      </w:r>
      <w:r>
        <w:rPr>
          <w:rFonts w:eastAsia="Times New Roman" w:cstheme="minorHAnsi"/>
          <w:lang w:eastAsia="en-GB"/>
        </w:rPr>
        <w:t>es).</w:t>
      </w:r>
    </w:p>
    <w:p w:rsidRPr="009B7306" w:rsidR="009B7306" w:rsidP="00EE463E" w:rsidRDefault="009B7306" w14:paraId="57D15DB9" w14:textId="77777777">
      <w:pPr>
        <w:pStyle w:val="ListParagraph"/>
        <w:numPr>
          <w:ilvl w:val="0"/>
          <w:numId w:val="28"/>
        </w:numPr>
        <w:spacing w:after="185" w:line="360" w:lineRule="atLeast"/>
        <w:ind w:left="714" w:hanging="357"/>
        <w:contextualSpacing/>
        <w:rPr>
          <w:rFonts w:eastAsia="Times New Roman" w:cstheme="minorHAnsi"/>
          <w:b/>
          <w:lang w:eastAsia="en-GB"/>
        </w:rPr>
      </w:pPr>
      <w:r w:rsidRPr="009B7306">
        <w:rPr>
          <w:rFonts w:eastAsia="Times New Roman" w:cstheme="minorHAnsi"/>
          <w:b/>
          <w:lang w:eastAsia="en-GB"/>
        </w:rPr>
        <w:t>Non-Approval</w:t>
      </w:r>
    </w:p>
    <w:p w:rsidR="002219DB" w:rsidP="000E0FFA" w:rsidRDefault="006A3C0C" w14:paraId="74DDF0E3" w14:textId="4B2D8213">
      <w:pPr>
        <w:spacing w:after="185" w:line="360" w:lineRule="atLeast"/>
        <w:rPr>
          <w:rFonts w:eastAsia="Times New Roman" w:cstheme="minorHAnsi"/>
          <w:lang w:eastAsia="en-GB"/>
        </w:rPr>
      </w:pPr>
      <w:r>
        <w:rPr>
          <w:rFonts w:eastAsia="Times New Roman" w:cstheme="minorHAnsi"/>
          <w:lang w:eastAsia="en-GB"/>
        </w:rPr>
        <w:t>The PVC will escalate a</w:t>
      </w:r>
      <w:r w:rsidR="009B7306">
        <w:rPr>
          <w:rFonts w:eastAsia="Times New Roman" w:cstheme="minorHAnsi"/>
          <w:lang w:eastAsia="en-GB"/>
        </w:rPr>
        <w:t>ll cases</w:t>
      </w:r>
      <w:r w:rsidR="002219DB">
        <w:rPr>
          <w:rFonts w:eastAsia="Times New Roman" w:cstheme="minorHAnsi"/>
          <w:lang w:eastAsia="en-GB"/>
        </w:rPr>
        <w:t xml:space="preserve"> for </w:t>
      </w:r>
      <w:r w:rsidRPr="006A3C0C" w:rsidR="009B7306">
        <w:rPr>
          <w:rFonts w:eastAsia="Times New Roman" w:cstheme="minorHAnsi"/>
          <w:b/>
          <w:lang w:eastAsia="en-GB"/>
        </w:rPr>
        <w:t>approval with conditions</w:t>
      </w:r>
      <w:r w:rsidR="009B7306">
        <w:rPr>
          <w:rFonts w:eastAsia="Times New Roman" w:cstheme="minorHAnsi"/>
          <w:lang w:eastAsia="en-GB"/>
        </w:rPr>
        <w:t xml:space="preserve"> to the Vice-Chancellor with recommendation for final decision. The</w:t>
      </w:r>
      <w:r w:rsidR="002219DB">
        <w:rPr>
          <w:rFonts w:eastAsia="Times New Roman" w:cstheme="minorHAnsi"/>
          <w:lang w:eastAsia="en-GB"/>
        </w:rPr>
        <w:t xml:space="preserve"> PVC </w:t>
      </w:r>
      <w:r w:rsidR="009B7306">
        <w:rPr>
          <w:rFonts w:eastAsia="Times New Roman" w:cstheme="minorHAnsi"/>
          <w:lang w:eastAsia="en-GB"/>
        </w:rPr>
        <w:t xml:space="preserve">may choose to escalate other large-scale </w:t>
      </w:r>
      <w:r>
        <w:rPr>
          <w:rFonts w:eastAsia="Times New Roman" w:cstheme="minorHAnsi"/>
          <w:lang w:eastAsia="en-GB"/>
        </w:rPr>
        <w:t>or high-risk cases to the Vice-Chancellor.</w:t>
      </w:r>
      <w:r w:rsidR="004919B7">
        <w:rPr>
          <w:rFonts w:eastAsia="Times New Roman" w:cstheme="minorHAnsi"/>
          <w:lang w:eastAsia="en-GB"/>
        </w:rPr>
        <w:t xml:space="preserve"> In consultation with the Vice-Chancellor and the University Executive Board, some exceptional cases may be referred Council for consideration.</w:t>
      </w:r>
    </w:p>
    <w:p w:rsidR="000E0FFA" w:rsidP="000E0FFA" w:rsidRDefault="002219DB" w14:paraId="1DFFE939" w14:textId="3500C63C">
      <w:pPr>
        <w:spacing w:after="185" w:line="360" w:lineRule="atLeast"/>
        <w:rPr>
          <w:rFonts w:eastAsia="Times New Roman" w:cstheme="minorHAnsi"/>
          <w:lang w:eastAsia="en-GB"/>
        </w:rPr>
      </w:pPr>
      <w:r>
        <w:rPr>
          <w:rFonts w:eastAsia="Times New Roman" w:cstheme="minorHAnsi"/>
          <w:lang w:eastAsia="en-GB"/>
        </w:rPr>
        <w:t xml:space="preserve">5.3 </w:t>
      </w:r>
      <w:r w:rsidR="000E0FFA">
        <w:rPr>
          <w:rFonts w:eastAsia="Times New Roman" w:cstheme="minorHAnsi"/>
          <w:lang w:eastAsia="en-GB"/>
        </w:rPr>
        <w:t>Once a funder has been approved by this process, future cases for the same funder will be approved by the REDDP</w:t>
      </w:r>
      <w:r>
        <w:rPr>
          <w:rFonts w:eastAsia="Times New Roman" w:cstheme="minorHAnsi"/>
          <w:lang w:eastAsia="en-GB"/>
        </w:rPr>
        <w:t>,</w:t>
      </w:r>
      <w:r w:rsidR="000E0FFA">
        <w:rPr>
          <w:rFonts w:eastAsia="Times New Roman" w:cstheme="minorHAnsi"/>
          <w:lang w:eastAsia="en-GB"/>
        </w:rPr>
        <w:t xml:space="preserve"> unless </w:t>
      </w:r>
      <w:r>
        <w:rPr>
          <w:rFonts w:eastAsia="Times New Roman" w:cstheme="minorHAnsi"/>
          <w:lang w:eastAsia="en-GB"/>
        </w:rPr>
        <w:t xml:space="preserve">upon review </w:t>
      </w:r>
      <w:r w:rsidR="000E0FFA">
        <w:rPr>
          <w:rFonts w:eastAsia="Times New Roman" w:cstheme="minorHAnsi"/>
          <w:lang w:eastAsia="en-GB"/>
        </w:rPr>
        <w:t>the risk changes substantially. Where the risk has changed th</w:t>
      </w:r>
      <w:r>
        <w:rPr>
          <w:rFonts w:eastAsia="Times New Roman" w:cstheme="minorHAnsi"/>
          <w:lang w:eastAsia="en-GB"/>
        </w:rPr>
        <w:t>e REDD Panel will escalate with</w:t>
      </w:r>
      <w:r w:rsidR="000E0FFA">
        <w:rPr>
          <w:rFonts w:eastAsia="Times New Roman" w:cstheme="minorHAnsi"/>
          <w:lang w:eastAsia="en-GB"/>
        </w:rPr>
        <w:t xml:space="preserve"> a new recommendation to </w:t>
      </w:r>
      <w:r>
        <w:rPr>
          <w:rFonts w:eastAsia="Times New Roman" w:cstheme="minorHAnsi"/>
          <w:lang w:eastAsia="en-GB"/>
        </w:rPr>
        <w:t>the PVC Research and Enterprise</w:t>
      </w:r>
      <w:r w:rsidR="000E0FFA">
        <w:rPr>
          <w:rFonts w:eastAsia="Times New Roman" w:cstheme="minorHAnsi"/>
          <w:lang w:eastAsia="en-GB"/>
        </w:rPr>
        <w:t>.</w:t>
      </w:r>
    </w:p>
    <w:p w:rsidR="000E0FFA" w:rsidP="000E0FFA" w:rsidRDefault="00A75D98" w14:paraId="7DA2F1CA" w14:textId="54D8E617">
      <w:pPr>
        <w:spacing w:after="185" w:line="360" w:lineRule="atLeast"/>
        <w:rPr>
          <w:rFonts w:eastAsia="Times New Roman" w:cstheme="minorHAnsi"/>
          <w:lang w:eastAsia="en-GB"/>
        </w:rPr>
      </w:pPr>
      <w:r>
        <w:rPr>
          <w:rFonts w:eastAsia="Times New Roman" w:cstheme="minorHAnsi"/>
          <w:lang w:eastAsia="en-GB"/>
        </w:rPr>
        <w:t>5.</w:t>
      </w:r>
      <w:r w:rsidR="002219DB">
        <w:rPr>
          <w:rFonts w:eastAsia="Times New Roman" w:cstheme="minorHAnsi"/>
          <w:lang w:eastAsia="en-GB"/>
        </w:rPr>
        <w:t>4</w:t>
      </w:r>
      <w:r>
        <w:rPr>
          <w:rFonts w:eastAsia="Times New Roman" w:cstheme="minorHAnsi"/>
          <w:lang w:eastAsia="en-GB"/>
        </w:rPr>
        <w:t xml:space="preserve"> </w:t>
      </w:r>
      <w:r w:rsidR="000E0FFA">
        <w:rPr>
          <w:rFonts w:eastAsia="Times New Roman" w:cstheme="minorHAnsi"/>
          <w:lang w:eastAsia="en-GB"/>
        </w:rPr>
        <w:t xml:space="preserve">The REDD Panel will provide periodic reports to the University Research Ethics and Integrity Committee and report annually to the </w:t>
      </w:r>
      <w:r w:rsidR="002219DB">
        <w:rPr>
          <w:rFonts w:eastAsia="Times New Roman" w:cstheme="minorHAnsi"/>
          <w:lang w:eastAsia="en-GB"/>
        </w:rPr>
        <w:t>PVC Research and Enterprise.</w:t>
      </w:r>
    </w:p>
    <w:p w:rsidR="000E0FFA" w:rsidP="000E0FFA" w:rsidRDefault="000E0FFA" w14:paraId="6F22DA86" w14:textId="1D198659">
      <w:pPr>
        <w:spacing w:after="185" w:line="360" w:lineRule="atLeast"/>
        <w:rPr>
          <w:rFonts w:eastAsia="Times New Roman" w:cstheme="minorHAnsi"/>
          <w:lang w:eastAsia="en-GB"/>
        </w:rPr>
      </w:pPr>
    </w:p>
    <w:p w:rsidRPr="006E256E" w:rsidR="00EE463E" w:rsidP="000E0FFA" w:rsidRDefault="00EE463E" w14:paraId="7743B914" w14:textId="77777777">
      <w:pPr>
        <w:spacing w:after="185" w:line="360" w:lineRule="atLeast"/>
        <w:rPr>
          <w:rFonts w:eastAsia="Times New Roman" w:cstheme="minorHAnsi"/>
          <w:lang w:eastAsia="en-GB"/>
        </w:rPr>
      </w:pPr>
    </w:p>
    <w:p w:rsidRPr="0045265E" w:rsidR="000E0FFA" w:rsidP="000E0FFA" w:rsidRDefault="00A75D98" w14:paraId="27264888" w14:textId="721001DA">
      <w:pPr>
        <w:pStyle w:val="Heading3"/>
        <w:rPr>
          <w:rFonts w:eastAsia="Times New Roman"/>
          <w:b/>
          <w:lang w:eastAsia="en-GB"/>
        </w:rPr>
      </w:pPr>
      <w:r>
        <w:rPr>
          <w:rFonts w:eastAsia="Times New Roman"/>
          <w:b/>
          <w:lang w:eastAsia="en-GB"/>
        </w:rPr>
        <w:lastRenderedPageBreak/>
        <w:t xml:space="preserve">6. </w:t>
      </w:r>
      <w:r w:rsidRPr="0045265E" w:rsidR="000E0FFA">
        <w:rPr>
          <w:rFonts w:eastAsia="Times New Roman"/>
          <w:b/>
          <w:lang w:eastAsia="en-GB"/>
        </w:rPr>
        <w:t>Frequency of Meetings</w:t>
      </w:r>
      <w:r>
        <w:rPr>
          <w:rFonts w:eastAsia="Times New Roman"/>
          <w:b/>
          <w:lang w:eastAsia="en-GB"/>
        </w:rPr>
        <w:t xml:space="preserve"> and Membership</w:t>
      </w:r>
    </w:p>
    <w:p w:rsidRPr="006E256E" w:rsidR="000E0FFA" w:rsidP="000E0FFA" w:rsidRDefault="00A75D98" w14:paraId="02B95B02" w14:textId="6B23F98F">
      <w:pPr>
        <w:spacing w:after="185" w:line="360" w:lineRule="atLeast"/>
        <w:rPr>
          <w:rFonts w:eastAsia="Times New Roman" w:cstheme="minorHAnsi"/>
          <w:lang w:eastAsia="en-GB"/>
        </w:rPr>
      </w:pPr>
      <w:r>
        <w:rPr>
          <w:rFonts w:eastAsia="Times New Roman" w:cstheme="minorHAnsi"/>
          <w:lang w:eastAsia="en-GB"/>
        </w:rPr>
        <w:t xml:space="preserve">6.1 </w:t>
      </w:r>
      <w:r w:rsidRPr="006E256E" w:rsidR="000E0FFA">
        <w:rPr>
          <w:rFonts w:eastAsia="Times New Roman" w:cstheme="minorHAnsi"/>
          <w:lang w:eastAsia="en-GB"/>
        </w:rPr>
        <w:t xml:space="preserve">The </w:t>
      </w:r>
      <w:r w:rsidR="000E0FFA">
        <w:rPr>
          <w:rFonts w:eastAsia="Times New Roman" w:cstheme="minorHAnsi"/>
          <w:lang w:eastAsia="en-GB"/>
        </w:rPr>
        <w:t xml:space="preserve">Research and Enterprise </w:t>
      </w:r>
      <w:r w:rsidRPr="006E256E" w:rsidR="000E0FFA">
        <w:rPr>
          <w:rFonts w:eastAsia="Times New Roman" w:cstheme="minorHAnsi"/>
          <w:lang w:eastAsia="en-GB"/>
        </w:rPr>
        <w:t xml:space="preserve">Due Diligence Panel </w:t>
      </w:r>
      <w:r w:rsidR="000E0FFA">
        <w:rPr>
          <w:rFonts w:eastAsia="Times New Roman" w:cstheme="minorHAnsi"/>
          <w:lang w:eastAsia="en-GB"/>
        </w:rPr>
        <w:t xml:space="preserve">will </w:t>
      </w:r>
      <w:r w:rsidRPr="006E256E" w:rsidR="000E0FFA">
        <w:rPr>
          <w:rFonts w:eastAsia="Times New Roman" w:cstheme="minorHAnsi"/>
          <w:lang w:eastAsia="en-GB"/>
        </w:rPr>
        <w:t>meet as required.</w:t>
      </w:r>
    </w:p>
    <w:p w:rsidR="000E0FFA" w:rsidP="00A75D98" w:rsidRDefault="00A75D98" w14:paraId="1BE507C9" w14:textId="12ACE385">
      <w:r>
        <w:t xml:space="preserve">6.2 </w:t>
      </w:r>
      <w:r w:rsidRPr="00A75D98" w:rsidR="000E0FFA">
        <w:t xml:space="preserve">Membership </w:t>
      </w:r>
      <w:r>
        <w:t>will comprise of:</w:t>
      </w:r>
    </w:p>
    <w:p w:rsidRPr="006E256E" w:rsidR="000E0FFA" w:rsidP="00EE463E" w:rsidRDefault="000E0FFA" w14:paraId="3C687C5E" w14:textId="77777777">
      <w:pPr>
        <w:ind w:left="720"/>
        <w:contextualSpacing/>
        <w:rPr>
          <w:rFonts w:eastAsia="Times New Roman" w:cstheme="minorHAnsi"/>
          <w:lang w:eastAsia="en-GB"/>
        </w:rPr>
      </w:pPr>
      <w:r w:rsidRPr="006E256E">
        <w:rPr>
          <w:rFonts w:eastAsia="Times New Roman" w:cstheme="minorHAnsi"/>
          <w:lang w:eastAsia="en-GB"/>
        </w:rPr>
        <w:t>Director of Research and Enterprise Services (Chair)</w:t>
      </w:r>
    </w:p>
    <w:p w:rsidRPr="006E256E" w:rsidR="000E0FFA" w:rsidP="00EE463E" w:rsidRDefault="000E0FFA" w14:paraId="0F780488" w14:textId="77777777">
      <w:pPr>
        <w:ind w:left="720"/>
        <w:contextualSpacing/>
        <w:rPr>
          <w:rFonts w:eastAsia="Times New Roman" w:cstheme="minorHAnsi"/>
          <w:lang w:eastAsia="en-GB"/>
        </w:rPr>
      </w:pPr>
      <w:r w:rsidRPr="006E256E">
        <w:rPr>
          <w:rFonts w:eastAsia="Times New Roman" w:cstheme="minorHAnsi"/>
          <w:lang w:eastAsia="en-GB"/>
        </w:rPr>
        <w:t>Associate Director of Research Services (Deputy Chair)</w:t>
      </w:r>
    </w:p>
    <w:p w:rsidRPr="006E256E" w:rsidR="000E0FFA" w:rsidP="00EE463E" w:rsidRDefault="000E0FFA" w14:paraId="0A529BD8" w14:textId="77777777">
      <w:pPr>
        <w:ind w:left="720"/>
        <w:contextualSpacing/>
        <w:rPr>
          <w:rFonts w:eastAsia="Times New Roman" w:cstheme="minorHAnsi"/>
          <w:lang w:eastAsia="en-GB"/>
        </w:rPr>
      </w:pPr>
      <w:r w:rsidRPr="006E256E">
        <w:rPr>
          <w:rFonts w:eastAsia="Times New Roman" w:cstheme="minorHAnsi"/>
          <w:lang w:eastAsia="en-GB"/>
        </w:rPr>
        <w:t xml:space="preserve">Director of Strategic Planning and Governance (or nominee) </w:t>
      </w:r>
    </w:p>
    <w:p w:rsidR="000E0FFA" w:rsidP="00EE463E" w:rsidRDefault="000E0FFA" w14:paraId="1E31570E" w14:textId="217003B0">
      <w:pPr>
        <w:ind w:left="720"/>
        <w:contextualSpacing/>
        <w:rPr>
          <w:rFonts w:eastAsia="Times New Roman" w:cstheme="minorHAnsi"/>
          <w:bCs/>
          <w:spacing w:val="-1"/>
          <w:lang w:eastAsia="en-GB"/>
        </w:rPr>
      </w:pPr>
      <w:r w:rsidRPr="006E256E">
        <w:rPr>
          <w:rFonts w:eastAsia="Times New Roman" w:cstheme="minorHAnsi"/>
          <w:lang w:eastAsia="en-GB"/>
        </w:rPr>
        <w:t>Deputy Director of Finance (</w:t>
      </w:r>
      <w:r w:rsidR="005970BA">
        <w:rPr>
          <w:rFonts w:eastAsia="Times New Roman" w:cstheme="minorHAnsi"/>
          <w:lang w:eastAsia="en-GB"/>
        </w:rPr>
        <w:t xml:space="preserve">Operations and </w:t>
      </w:r>
      <w:r w:rsidR="002219DB">
        <w:rPr>
          <w:rFonts w:eastAsia="Times New Roman" w:cstheme="minorHAnsi"/>
          <w:lang w:eastAsia="en-GB"/>
        </w:rPr>
        <w:t>Compliance</w:t>
      </w:r>
      <w:r w:rsidR="005970BA">
        <w:rPr>
          <w:rFonts w:eastAsia="Times New Roman" w:cstheme="minorHAnsi"/>
          <w:lang w:eastAsia="en-GB"/>
        </w:rPr>
        <w:t>) (</w:t>
      </w:r>
      <w:r w:rsidRPr="006E256E">
        <w:rPr>
          <w:rFonts w:eastAsia="Times New Roman" w:cstheme="minorHAnsi"/>
          <w:lang w:eastAsia="en-GB"/>
        </w:rPr>
        <w:t>or nominee</w:t>
      </w:r>
      <w:r w:rsidR="005970BA">
        <w:rPr>
          <w:rFonts w:eastAsia="Times New Roman" w:cstheme="minorHAnsi"/>
          <w:lang w:eastAsia="en-GB"/>
        </w:rPr>
        <w:t xml:space="preserve"> agreed by the Director of Finance</w:t>
      </w:r>
      <w:r w:rsidRPr="006E256E">
        <w:rPr>
          <w:rFonts w:eastAsia="Times New Roman" w:cstheme="minorHAnsi"/>
          <w:lang w:eastAsia="en-GB"/>
        </w:rPr>
        <w:t>)</w:t>
      </w:r>
      <w:r w:rsidRPr="006E256E">
        <w:rPr>
          <w:rFonts w:eastAsia="Times New Roman" w:cstheme="minorHAnsi"/>
          <w:bCs/>
          <w:spacing w:val="-1"/>
          <w:lang w:eastAsia="en-GB"/>
        </w:rPr>
        <w:t xml:space="preserve"> </w:t>
      </w:r>
    </w:p>
    <w:p w:rsidR="000E0FFA" w:rsidP="00EE463E" w:rsidRDefault="000E0FFA" w14:paraId="65E586A8" w14:textId="77777777">
      <w:pPr>
        <w:ind w:left="720"/>
        <w:contextualSpacing/>
        <w:rPr>
          <w:rFonts w:eastAsia="Times New Roman" w:cstheme="minorHAnsi"/>
          <w:bCs/>
          <w:spacing w:val="-1"/>
          <w:lang w:eastAsia="en-GB"/>
        </w:rPr>
      </w:pPr>
      <w:r>
        <w:rPr>
          <w:rFonts w:eastAsia="Times New Roman" w:cstheme="minorHAnsi"/>
          <w:bCs/>
          <w:spacing w:val="-1"/>
          <w:lang w:eastAsia="en-GB"/>
        </w:rPr>
        <w:t>Head of Global Engagement</w:t>
      </w:r>
    </w:p>
    <w:p w:rsidR="000E0FFA" w:rsidP="00EE463E" w:rsidRDefault="000E0FFA" w14:paraId="316BBB51" w14:textId="283D3121">
      <w:pPr>
        <w:ind w:left="720"/>
        <w:contextualSpacing/>
        <w:rPr>
          <w:rFonts w:eastAsia="Times New Roman" w:cstheme="minorHAnsi"/>
          <w:bCs/>
          <w:spacing w:val="-1"/>
          <w:lang w:eastAsia="en-GB"/>
        </w:rPr>
      </w:pPr>
      <w:r>
        <w:rPr>
          <w:rFonts w:eastAsia="Times New Roman" w:cstheme="minorHAnsi"/>
          <w:bCs/>
          <w:spacing w:val="-1"/>
          <w:lang w:eastAsia="en-GB"/>
        </w:rPr>
        <w:t>Academic representative</w:t>
      </w:r>
      <w:r w:rsidR="009B7306">
        <w:rPr>
          <w:rFonts w:eastAsia="Times New Roman" w:cstheme="minorHAnsi"/>
          <w:bCs/>
          <w:spacing w:val="-1"/>
          <w:lang w:eastAsia="en-GB"/>
        </w:rPr>
        <w:t xml:space="preserve"> from each faculty</w:t>
      </w:r>
      <w:r w:rsidR="002219DB">
        <w:rPr>
          <w:rFonts w:eastAsia="Times New Roman" w:cstheme="minorHAnsi"/>
          <w:bCs/>
          <w:spacing w:val="-1"/>
          <w:lang w:eastAsia="en-GB"/>
        </w:rPr>
        <w:t xml:space="preserve"> (nominated by faculty</w:t>
      </w:r>
      <w:r w:rsidR="009B7306">
        <w:rPr>
          <w:rFonts w:eastAsia="Times New Roman" w:cstheme="minorHAnsi"/>
          <w:bCs/>
          <w:spacing w:val="-1"/>
          <w:lang w:eastAsia="en-GB"/>
        </w:rPr>
        <w:t xml:space="preserve"> Dean</w:t>
      </w:r>
      <w:r w:rsidR="002219DB">
        <w:rPr>
          <w:rFonts w:eastAsia="Times New Roman" w:cstheme="minorHAnsi"/>
          <w:bCs/>
          <w:spacing w:val="-1"/>
          <w:lang w:eastAsia="en-GB"/>
        </w:rPr>
        <w:t>)</w:t>
      </w:r>
    </w:p>
    <w:p w:rsidR="000E0FFA" w:rsidP="00EE463E" w:rsidRDefault="000E0FFA" w14:paraId="0CFDD591" w14:textId="77777777">
      <w:pPr>
        <w:ind w:left="720"/>
        <w:contextualSpacing/>
        <w:rPr>
          <w:rFonts w:eastAsia="Times New Roman" w:cstheme="minorHAnsi"/>
          <w:bCs/>
          <w:spacing w:val="-1"/>
          <w:lang w:eastAsia="en-GB"/>
        </w:rPr>
      </w:pPr>
      <w:r>
        <w:rPr>
          <w:rFonts w:eastAsia="Times New Roman" w:cstheme="minorHAnsi"/>
          <w:bCs/>
          <w:spacing w:val="-1"/>
          <w:lang w:eastAsia="en-GB"/>
        </w:rPr>
        <w:t>Assistant Director of Communications (or nominee)</w:t>
      </w:r>
    </w:p>
    <w:p w:rsidR="000E0FFA" w:rsidP="00EE463E" w:rsidRDefault="000E0FFA" w14:paraId="00F6C591" w14:textId="77777777">
      <w:pPr>
        <w:ind w:left="720"/>
        <w:rPr>
          <w:rFonts w:eastAsia="Times New Roman" w:cstheme="minorHAnsi"/>
          <w:bCs/>
          <w:spacing w:val="-1"/>
          <w:lang w:eastAsia="en-GB"/>
        </w:rPr>
      </w:pPr>
    </w:p>
    <w:p w:rsidRPr="00EE463E" w:rsidR="000E0FFA" w:rsidP="00EE463E" w:rsidRDefault="000E0FFA" w14:paraId="1605ED65" w14:textId="77777777">
      <w:pPr>
        <w:ind w:left="720"/>
        <w:rPr>
          <w:rFonts w:eastAsia="Times New Roman" w:cstheme="minorHAnsi"/>
          <w:bCs/>
          <w:spacing w:val="-1"/>
          <w:lang w:eastAsia="en-GB"/>
        </w:rPr>
      </w:pPr>
      <w:r w:rsidRPr="00EE463E">
        <w:rPr>
          <w:rFonts w:eastAsia="Times New Roman" w:cstheme="minorHAnsi"/>
          <w:bCs/>
          <w:spacing w:val="-1"/>
          <w:lang w:eastAsia="en-GB"/>
        </w:rPr>
        <w:t>In attendance as required for specific cases:</w:t>
      </w:r>
    </w:p>
    <w:p w:rsidR="000E0FFA" w:rsidP="00EE463E" w:rsidRDefault="000E0FFA" w14:paraId="7C710B7D" w14:textId="77777777">
      <w:pPr>
        <w:ind w:left="720"/>
        <w:contextualSpacing/>
        <w:rPr>
          <w:rFonts w:eastAsia="Times New Roman" w:cstheme="minorHAnsi"/>
          <w:lang w:eastAsia="en-GB"/>
        </w:rPr>
      </w:pPr>
      <w:r>
        <w:rPr>
          <w:rFonts w:eastAsia="Times New Roman" w:cstheme="minorHAnsi"/>
          <w:lang w:eastAsia="en-GB"/>
        </w:rPr>
        <w:t>Project Principal Investigator</w:t>
      </w:r>
    </w:p>
    <w:p w:rsidRPr="00F110F9" w:rsidR="000E0FFA" w:rsidP="00EE463E" w:rsidRDefault="000E0FFA" w14:paraId="17D2B0E9" w14:textId="77777777">
      <w:pPr>
        <w:ind w:left="720"/>
        <w:contextualSpacing/>
        <w:rPr>
          <w:rFonts w:eastAsia="Times New Roman" w:cstheme="minorHAnsi"/>
          <w:lang w:eastAsia="en-GB"/>
        </w:rPr>
      </w:pPr>
      <w:r>
        <w:rPr>
          <w:rFonts w:eastAsia="Times New Roman" w:cstheme="minorHAnsi"/>
          <w:lang w:eastAsia="en-GB"/>
        </w:rPr>
        <w:t>Relevant Research Development /Business Development Manager</w:t>
      </w:r>
    </w:p>
    <w:p w:rsidR="000E0FFA" w:rsidP="00EE463E" w:rsidRDefault="000E0FFA" w14:paraId="08D9AB7F" w14:textId="77777777">
      <w:pPr>
        <w:ind w:left="720"/>
        <w:rPr>
          <w:rFonts w:eastAsia="Times New Roman" w:cstheme="minorHAnsi"/>
          <w:bCs/>
          <w:spacing w:val="-1"/>
          <w:lang w:eastAsia="en-GB"/>
        </w:rPr>
      </w:pPr>
    </w:p>
    <w:p w:rsidR="000E0FFA" w:rsidP="00EE463E" w:rsidRDefault="000E0FFA" w14:paraId="2194DA3D" w14:textId="77777777">
      <w:pPr>
        <w:ind w:left="720"/>
        <w:rPr>
          <w:rFonts w:eastAsia="Times New Roman" w:cstheme="minorHAnsi"/>
          <w:lang w:eastAsia="en-GB"/>
        </w:rPr>
      </w:pPr>
      <w:r>
        <w:rPr>
          <w:rFonts w:eastAsia="Times New Roman" w:cstheme="minorHAnsi"/>
          <w:bCs/>
          <w:spacing w:val="-1"/>
          <w:lang w:eastAsia="en-GB"/>
        </w:rPr>
        <w:t>Further k</w:t>
      </w:r>
      <w:r w:rsidRPr="00F110F9">
        <w:rPr>
          <w:rFonts w:eastAsia="Times New Roman" w:cstheme="minorHAnsi"/>
          <w:bCs/>
          <w:spacing w:val="-1"/>
          <w:lang w:eastAsia="en-GB"/>
        </w:rPr>
        <w:t>ey people may be co-opted to the membership as required.</w:t>
      </w:r>
      <w:r w:rsidRPr="00F110F9">
        <w:rPr>
          <w:rFonts w:eastAsia="Times New Roman" w:cstheme="minorHAnsi"/>
          <w:lang w:eastAsia="en-GB"/>
        </w:rPr>
        <w:t xml:space="preserve"> </w:t>
      </w:r>
    </w:p>
    <w:p w:rsidR="000E0FFA" w:rsidP="000E0FFA" w:rsidRDefault="00A75D98" w14:paraId="66852B5A" w14:textId="6FB2F97E">
      <w:pPr>
        <w:pStyle w:val="Heading1"/>
        <w:rPr>
          <w:noProof/>
          <w:lang w:eastAsia="en-GB"/>
        </w:rPr>
      </w:pPr>
      <w:r>
        <w:rPr>
          <w:rFonts w:eastAsia="Times New Roman" w:cstheme="minorHAnsi"/>
          <w:lang w:eastAsia="en-GB"/>
        </w:rPr>
        <w:lastRenderedPageBreak/>
        <w:t xml:space="preserve">7. </w:t>
      </w:r>
      <w:r w:rsidR="000E0FFA">
        <w:rPr>
          <w:rFonts w:eastAsia="Times New Roman" w:cstheme="minorHAnsi"/>
          <w:lang w:eastAsia="en-GB"/>
        </w:rPr>
        <w:t>A</w:t>
      </w:r>
      <w:r w:rsidR="004C6BC7">
        <w:rPr>
          <w:rFonts w:eastAsia="Times New Roman" w:cstheme="minorHAnsi"/>
          <w:lang w:eastAsia="en-GB"/>
        </w:rPr>
        <w:t>ppendix</w:t>
      </w:r>
      <w:r w:rsidRPr="0045265E" w:rsidR="000E0FFA">
        <w:rPr>
          <w:rStyle w:val="Heading3Char"/>
        </w:rPr>
        <w:t xml:space="preserve"> 1:</w:t>
      </w:r>
      <w:r w:rsidR="000E0FFA">
        <w:rPr>
          <w:rFonts w:cstheme="minorHAnsi"/>
        </w:rPr>
        <w:t xml:space="preserve"> </w:t>
      </w:r>
      <w:r w:rsidR="00F33D0F">
        <w:rPr>
          <w:rFonts w:cstheme="minorHAnsi"/>
        </w:rPr>
        <w:t>Flowchart</w:t>
      </w:r>
    </w:p>
    <w:p w:rsidR="000E0FFA" w:rsidP="000B2A5E" w:rsidRDefault="00A564D7" w14:paraId="7F9A2A46" w14:textId="4876C4D9">
      <w:r>
        <w:object w:dxaOrig="8041" w:dyaOrig="11713" w14:anchorId="6455055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51.25pt;height:598.6pt" alt="Flowchart" o:ole="" type="#_x0000_t75">
            <v:imagedata o:title="" r:id="rId10"/>
          </v:shape>
          <o:OLEObject Type="Embed" ProgID="Acrobat.Document.DC" ShapeID="_x0000_i1025" DrawAspect="Content" ObjectID="_1739023239" r:id="rId11"/>
        </w:object>
      </w:r>
    </w:p>
    <w:p w:rsidR="000E0FFA" w:rsidRDefault="000E0FFA" w14:paraId="53B83B44" w14:textId="48B6E202"/>
    <w:sectPr w:rsidR="000E0FFA" w:rsidSect="00FB0A36">
      <w:headerReference w:type="first" r:id="rId12"/>
      <w:pgSz w:w="11906" w:h="16838" w:orient="portrait"/>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0A36" w:rsidP="00FB0A36" w:rsidRDefault="00FB0A36" w14:paraId="3935F21E" w14:textId="77777777">
      <w:r>
        <w:separator/>
      </w:r>
    </w:p>
  </w:endnote>
  <w:endnote w:type="continuationSeparator" w:id="0">
    <w:p w:rsidR="00FB0A36" w:rsidP="00FB0A36" w:rsidRDefault="00FB0A36" w14:paraId="2E69B2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0A36" w:rsidP="00FB0A36" w:rsidRDefault="00FB0A36" w14:paraId="2E0E7929" w14:textId="77777777">
      <w:r>
        <w:separator/>
      </w:r>
    </w:p>
  </w:footnote>
  <w:footnote w:type="continuationSeparator" w:id="0">
    <w:p w:rsidR="00FB0A36" w:rsidP="00FB0A36" w:rsidRDefault="00FB0A36" w14:paraId="4A07E29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B0A36" w:rsidP="00FB0A36" w:rsidRDefault="00FB0A36" w14:paraId="3E4AF251" w14:textId="19FB3A73">
    <w:pPr>
      <w:pStyle w:val="Header"/>
      <w:jc w:val="right"/>
    </w:pPr>
    <w:r>
      <w:rPr>
        <w:noProof/>
        <w:lang w:eastAsia="en-GB"/>
      </w:rPr>
      <w:drawing>
        <wp:inline distT="0" distB="0" distL="0" distR="0" wp14:anchorId="55FE035A" wp14:editId="0CD368AB">
          <wp:extent cx="1672196" cy="525780"/>
          <wp:effectExtent l="0" t="0" r="4445" b="7620"/>
          <wp:docPr id="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4707" cy="5328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AC9"/>
    <w:multiLevelType w:val="multilevel"/>
    <w:tmpl w:val="642663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6441CB6"/>
    <w:multiLevelType w:val="hybridMultilevel"/>
    <w:tmpl w:val="4C526CEC"/>
    <w:lvl w:ilvl="0" w:tplc="4E4AE70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B71A9"/>
    <w:multiLevelType w:val="hybridMultilevel"/>
    <w:tmpl w:val="361C3FDC"/>
    <w:lvl w:ilvl="0" w:tplc="1B224A2E">
      <w:numFmt w:val="bullet"/>
      <w:lvlText w:val=""/>
      <w:lvlJc w:val="left"/>
      <w:pPr>
        <w:ind w:left="720" w:hanging="360"/>
      </w:pPr>
      <w:rPr>
        <w:rFonts w:hint="default" w:ascii="Symbol" w:hAnsi="Symbol"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0B323CD4"/>
    <w:multiLevelType w:val="multilevel"/>
    <w:tmpl w:val="50D69B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F13B6"/>
    <w:multiLevelType w:val="hybridMultilevel"/>
    <w:tmpl w:val="C6345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F59B6"/>
    <w:multiLevelType w:val="hybridMultilevel"/>
    <w:tmpl w:val="8B2A33BE"/>
    <w:lvl w:ilvl="0" w:tplc="54BC166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17BA9"/>
    <w:multiLevelType w:val="hybridMultilevel"/>
    <w:tmpl w:val="9FACFF0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6D521A0"/>
    <w:multiLevelType w:val="hybridMultilevel"/>
    <w:tmpl w:val="40D0E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AB2639"/>
    <w:multiLevelType w:val="hybridMultilevel"/>
    <w:tmpl w:val="C6345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421ED"/>
    <w:multiLevelType w:val="hybridMultilevel"/>
    <w:tmpl w:val="5FAA5C96"/>
    <w:lvl w:ilvl="0" w:tplc="1B28508A">
      <w:start w:val="2"/>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FA525B"/>
    <w:multiLevelType w:val="hybridMultilevel"/>
    <w:tmpl w:val="86226C52"/>
    <w:lvl w:ilvl="0" w:tplc="4E4AE70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351C83"/>
    <w:multiLevelType w:val="hybridMultilevel"/>
    <w:tmpl w:val="E93AF4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84B0A73"/>
    <w:multiLevelType w:val="hybridMultilevel"/>
    <w:tmpl w:val="FF3891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D7816BB"/>
    <w:multiLevelType w:val="hybridMultilevel"/>
    <w:tmpl w:val="511055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7762AA"/>
    <w:multiLevelType w:val="hybridMultilevel"/>
    <w:tmpl w:val="E03C1490"/>
    <w:lvl w:ilvl="0" w:tplc="4E4AE70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503240"/>
    <w:multiLevelType w:val="multilevel"/>
    <w:tmpl w:val="ED80E794"/>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16" w15:restartNumberingAfterBreak="0">
    <w:nsid w:val="3D97048D"/>
    <w:multiLevelType w:val="hybridMultilevel"/>
    <w:tmpl w:val="511055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DC1D85"/>
    <w:multiLevelType w:val="hybridMultilevel"/>
    <w:tmpl w:val="59660B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CA5D8F"/>
    <w:multiLevelType w:val="multilevel"/>
    <w:tmpl w:val="9A2C04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9C80C73"/>
    <w:multiLevelType w:val="hybridMultilevel"/>
    <w:tmpl w:val="81CCF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1417B2"/>
    <w:multiLevelType w:val="hybridMultilevel"/>
    <w:tmpl w:val="96C0D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DB78A9"/>
    <w:multiLevelType w:val="multilevel"/>
    <w:tmpl w:val="8D36C46E"/>
    <w:lvl w:ilvl="0">
      <w:start w:val="1"/>
      <w:numFmt w:val="decimal"/>
      <w:lvlText w:val="%1."/>
      <w:lvlJc w:val="left"/>
      <w:pPr>
        <w:ind w:left="820" w:hanging="720"/>
      </w:pPr>
      <w:rPr>
        <w:rFonts w:hint="default" w:ascii="Cambria" w:hAnsi="Cambria" w:eastAsia="Cambria" w:cs="Cambria"/>
        <w:b w:val="0"/>
        <w:bCs w:val="0"/>
        <w:i w:val="0"/>
        <w:iCs w:val="0"/>
        <w:color w:val="365F91"/>
        <w:w w:val="99"/>
        <w:sz w:val="26"/>
        <w:szCs w:val="26"/>
        <w:lang w:val="en-GB" w:eastAsia="en-US" w:bidi="ar-SA"/>
      </w:rPr>
    </w:lvl>
    <w:lvl w:ilvl="1">
      <w:numFmt w:val="decimal"/>
      <w:lvlText w:val="%1.%2"/>
      <w:lvlJc w:val="left"/>
      <w:pPr>
        <w:ind w:left="720" w:hanging="720"/>
      </w:pPr>
      <w:rPr>
        <w:rFonts w:hint="default" w:ascii="Calibri" w:hAnsi="Calibri" w:eastAsia="Calibri" w:cs="Calibri"/>
        <w:b w:val="0"/>
        <w:bCs w:val="0"/>
        <w:i w:val="0"/>
        <w:iCs w:val="0"/>
        <w:spacing w:val="-1"/>
        <w:w w:val="100"/>
        <w:sz w:val="22"/>
        <w:szCs w:val="22"/>
        <w:lang w:val="en-GB" w:eastAsia="en-US" w:bidi="ar-SA"/>
      </w:rPr>
    </w:lvl>
    <w:lvl w:ilvl="2">
      <w:start w:val="1"/>
      <w:numFmt w:val="lowerLetter"/>
      <w:lvlText w:val="%3)"/>
      <w:lvlJc w:val="left"/>
      <w:pPr>
        <w:ind w:left="1233" w:hanging="284"/>
      </w:pPr>
      <w:rPr>
        <w:rFonts w:hint="default" w:ascii="Calibri" w:hAnsi="Calibri" w:eastAsia="Calibri" w:cs="Calibri"/>
        <w:b w:val="0"/>
        <w:bCs w:val="0"/>
        <w:i w:val="0"/>
        <w:iCs w:val="0"/>
        <w:spacing w:val="-1"/>
        <w:w w:val="100"/>
        <w:sz w:val="22"/>
        <w:szCs w:val="22"/>
        <w:lang w:val="en-GB" w:eastAsia="en-US" w:bidi="ar-SA"/>
      </w:rPr>
    </w:lvl>
    <w:lvl w:ilvl="3">
      <w:numFmt w:val="bullet"/>
      <w:lvlText w:val="•"/>
      <w:lvlJc w:val="left"/>
      <w:pPr>
        <w:ind w:left="2240" w:hanging="284"/>
      </w:pPr>
      <w:rPr>
        <w:rFonts w:hint="default"/>
        <w:lang w:val="en-GB" w:eastAsia="en-US" w:bidi="ar-SA"/>
      </w:rPr>
    </w:lvl>
    <w:lvl w:ilvl="4">
      <w:numFmt w:val="bullet"/>
      <w:lvlText w:val="•"/>
      <w:lvlJc w:val="left"/>
      <w:pPr>
        <w:ind w:left="3241" w:hanging="284"/>
      </w:pPr>
      <w:rPr>
        <w:rFonts w:hint="default"/>
        <w:lang w:val="en-GB" w:eastAsia="en-US" w:bidi="ar-SA"/>
      </w:rPr>
    </w:lvl>
    <w:lvl w:ilvl="5">
      <w:numFmt w:val="bullet"/>
      <w:lvlText w:val="•"/>
      <w:lvlJc w:val="left"/>
      <w:pPr>
        <w:ind w:left="4242" w:hanging="284"/>
      </w:pPr>
      <w:rPr>
        <w:rFonts w:hint="default"/>
        <w:lang w:val="en-GB" w:eastAsia="en-US" w:bidi="ar-SA"/>
      </w:rPr>
    </w:lvl>
    <w:lvl w:ilvl="6">
      <w:numFmt w:val="bullet"/>
      <w:lvlText w:val="•"/>
      <w:lvlJc w:val="left"/>
      <w:pPr>
        <w:ind w:left="5243" w:hanging="284"/>
      </w:pPr>
      <w:rPr>
        <w:rFonts w:hint="default"/>
        <w:lang w:val="en-GB" w:eastAsia="en-US" w:bidi="ar-SA"/>
      </w:rPr>
    </w:lvl>
    <w:lvl w:ilvl="7">
      <w:numFmt w:val="bullet"/>
      <w:lvlText w:val="•"/>
      <w:lvlJc w:val="left"/>
      <w:pPr>
        <w:ind w:left="6244" w:hanging="284"/>
      </w:pPr>
      <w:rPr>
        <w:rFonts w:hint="default"/>
        <w:lang w:val="en-GB" w:eastAsia="en-US" w:bidi="ar-SA"/>
      </w:rPr>
    </w:lvl>
    <w:lvl w:ilvl="8">
      <w:numFmt w:val="bullet"/>
      <w:lvlText w:val="•"/>
      <w:lvlJc w:val="left"/>
      <w:pPr>
        <w:ind w:left="7244" w:hanging="284"/>
      </w:pPr>
      <w:rPr>
        <w:rFonts w:hint="default"/>
        <w:lang w:val="en-GB" w:eastAsia="en-US" w:bidi="ar-SA"/>
      </w:rPr>
    </w:lvl>
  </w:abstractNum>
  <w:abstractNum w:abstractNumId="22" w15:restartNumberingAfterBreak="0">
    <w:nsid w:val="650000B4"/>
    <w:multiLevelType w:val="hybridMultilevel"/>
    <w:tmpl w:val="72802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564703"/>
    <w:multiLevelType w:val="hybridMultilevel"/>
    <w:tmpl w:val="7E12ECCC"/>
    <w:lvl w:ilvl="0" w:tplc="C5084A80">
      <w:start w:val="1"/>
      <w:numFmt w:val="decimal"/>
      <w:lvlText w:val="%1)"/>
      <w:lvlJc w:val="left"/>
      <w:pPr>
        <w:ind w:left="792" w:hanging="432"/>
      </w:pPr>
      <w:rPr>
        <w:rFonts w:hint="default"/>
      </w:rPr>
    </w:lvl>
    <w:lvl w:ilvl="1" w:tplc="08090019">
      <w:start w:val="1"/>
      <w:numFmt w:val="lowerLetter"/>
      <w:lvlText w:val="%2."/>
      <w:lvlJc w:val="left"/>
      <w:pPr>
        <w:ind w:left="64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6A3B8F"/>
    <w:multiLevelType w:val="hybridMultilevel"/>
    <w:tmpl w:val="322AF746"/>
    <w:lvl w:ilvl="0" w:tplc="0D665390">
      <w:numFmt w:val="bullet"/>
      <w:lvlText w:val=""/>
      <w:lvlJc w:val="left"/>
      <w:pPr>
        <w:ind w:left="720" w:hanging="360"/>
      </w:pPr>
      <w:rPr>
        <w:rFonts w:hint="default" w:ascii="Symbol" w:hAnsi="Symbol"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E492A76"/>
    <w:multiLevelType w:val="multilevel"/>
    <w:tmpl w:val="9ABCACC0"/>
    <w:lvl w:ilvl="0">
      <w:start w:val="1"/>
      <w:numFmt w:val="decimal"/>
      <w:lvlText w:val="1.%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76795ADB"/>
    <w:multiLevelType w:val="hybridMultilevel"/>
    <w:tmpl w:val="B510B5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8BF7BC3"/>
    <w:multiLevelType w:val="hybridMultilevel"/>
    <w:tmpl w:val="E3E8C736"/>
    <w:lvl w:ilvl="0" w:tplc="54BC166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3C35E1"/>
    <w:multiLevelType w:val="hybridMultilevel"/>
    <w:tmpl w:val="5DE2FB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672027913">
    <w:abstractNumId w:val="2"/>
  </w:num>
  <w:num w:numId="2" w16cid:durableId="1562642934">
    <w:abstractNumId w:val="0"/>
  </w:num>
  <w:num w:numId="3" w16cid:durableId="2033415786">
    <w:abstractNumId w:val="23"/>
  </w:num>
  <w:num w:numId="4" w16cid:durableId="1505853088">
    <w:abstractNumId w:val="15"/>
  </w:num>
  <w:num w:numId="5" w16cid:durableId="1875846588">
    <w:abstractNumId w:val="26"/>
  </w:num>
  <w:num w:numId="6" w16cid:durableId="1620986931">
    <w:abstractNumId w:val="6"/>
  </w:num>
  <w:num w:numId="7" w16cid:durableId="517281684">
    <w:abstractNumId w:val="21"/>
  </w:num>
  <w:num w:numId="8" w16cid:durableId="1381831618">
    <w:abstractNumId w:val="24"/>
  </w:num>
  <w:num w:numId="9" w16cid:durableId="973677618">
    <w:abstractNumId w:val="12"/>
  </w:num>
  <w:num w:numId="10" w16cid:durableId="468476837">
    <w:abstractNumId w:val="5"/>
  </w:num>
  <w:num w:numId="11" w16cid:durableId="548809190">
    <w:abstractNumId w:val="22"/>
  </w:num>
  <w:num w:numId="12" w16cid:durableId="1939832399">
    <w:abstractNumId w:val="7"/>
  </w:num>
  <w:num w:numId="13" w16cid:durableId="1372263892">
    <w:abstractNumId w:val="18"/>
  </w:num>
  <w:num w:numId="14" w16cid:durableId="2042778295">
    <w:abstractNumId w:val="27"/>
  </w:num>
  <w:num w:numId="15" w16cid:durableId="803698364">
    <w:abstractNumId w:val="3"/>
  </w:num>
  <w:num w:numId="16" w16cid:durableId="2142534460">
    <w:abstractNumId w:val="25"/>
  </w:num>
  <w:num w:numId="17" w16cid:durableId="309486282">
    <w:abstractNumId w:val="10"/>
  </w:num>
  <w:num w:numId="18" w16cid:durableId="982736040">
    <w:abstractNumId w:val="9"/>
  </w:num>
  <w:num w:numId="19" w16cid:durableId="1799446044">
    <w:abstractNumId w:val="14"/>
  </w:num>
  <w:num w:numId="20" w16cid:durableId="1897816769">
    <w:abstractNumId w:val="28"/>
  </w:num>
  <w:num w:numId="21" w16cid:durableId="965935332">
    <w:abstractNumId w:val="1"/>
  </w:num>
  <w:num w:numId="22" w16cid:durableId="1105224466">
    <w:abstractNumId w:val="19"/>
  </w:num>
  <w:num w:numId="23" w16cid:durableId="2027710065">
    <w:abstractNumId w:val="20"/>
  </w:num>
  <w:num w:numId="24" w16cid:durableId="1016346893">
    <w:abstractNumId w:val="4"/>
  </w:num>
  <w:num w:numId="25" w16cid:durableId="1138037999">
    <w:abstractNumId w:val="13"/>
  </w:num>
  <w:num w:numId="26" w16cid:durableId="1262108766">
    <w:abstractNumId w:val="17"/>
  </w:num>
  <w:num w:numId="27" w16cid:durableId="1115759635">
    <w:abstractNumId w:val="8"/>
  </w:num>
  <w:num w:numId="28" w16cid:durableId="1617129614">
    <w:abstractNumId w:val="16"/>
  </w:num>
  <w:num w:numId="29" w16cid:durableId="931740372">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0F"/>
    <w:rsid w:val="00005421"/>
    <w:rsid w:val="00017992"/>
    <w:rsid w:val="000302B3"/>
    <w:rsid w:val="000376CB"/>
    <w:rsid w:val="00070498"/>
    <w:rsid w:val="00085C8F"/>
    <w:rsid w:val="00097F6A"/>
    <w:rsid w:val="000B2A5E"/>
    <w:rsid w:val="000C5AE1"/>
    <w:rsid w:val="000E0FFA"/>
    <w:rsid w:val="000F19FB"/>
    <w:rsid w:val="00104958"/>
    <w:rsid w:val="00110854"/>
    <w:rsid w:val="001343F5"/>
    <w:rsid w:val="00137F8A"/>
    <w:rsid w:val="001756AD"/>
    <w:rsid w:val="002219DB"/>
    <w:rsid w:val="00223423"/>
    <w:rsid w:val="00226D54"/>
    <w:rsid w:val="00247153"/>
    <w:rsid w:val="002E31BF"/>
    <w:rsid w:val="003104BA"/>
    <w:rsid w:val="00310C89"/>
    <w:rsid w:val="003130B7"/>
    <w:rsid w:val="00322E70"/>
    <w:rsid w:val="00335B4A"/>
    <w:rsid w:val="003407FC"/>
    <w:rsid w:val="003806DF"/>
    <w:rsid w:val="00392A0A"/>
    <w:rsid w:val="00392EC2"/>
    <w:rsid w:val="003E4F81"/>
    <w:rsid w:val="003F61D7"/>
    <w:rsid w:val="00416C82"/>
    <w:rsid w:val="00430D88"/>
    <w:rsid w:val="00455D58"/>
    <w:rsid w:val="00460588"/>
    <w:rsid w:val="004629B6"/>
    <w:rsid w:val="004919B7"/>
    <w:rsid w:val="004A5103"/>
    <w:rsid w:val="004C6BC7"/>
    <w:rsid w:val="004E5897"/>
    <w:rsid w:val="004F412B"/>
    <w:rsid w:val="005314A1"/>
    <w:rsid w:val="005705EF"/>
    <w:rsid w:val="005970BA"/>
    <w:rsid w:val="005A05DF"/>
    <w:rsid w:val="006034F7"/>
    <w:rsid w:val="00604523"/>
    <w:rsid w:val="006769A4"/>
    <w:rsid w:val="00685AB4"/>
    <w:rsid w:val="006A3C0C"/>
    <w:rsid w:val="006A6791"/>
    <w:rsid w:val="006B123C"/>
    <w:rsid w:val="006B7CEE"/>
    <w:rsid w:val="006E6E61"/>
    <w:rsid w:val="00726839"/>
    <w:rsid w:val="0075221B"/>
    <w:rsid w:val="007804A6"/>
    <w:rsid w:val="007C3FF6"/>
    <w:rsid w:val="007F0533"/>
    <w:rsid w:val="00800EAB"/>
    <w:rsid w:val="0081318C"/>
    <w:rsid w:val="00845AF2"/>
    <w:rsid w:val="00846AEF"/>
    <w:rsid w:val="00856BE1"/>
    <w:rsid w:val="008F71F6"/>
    <w:rsid w:val="00986C14"/>
    <w:rsid w:val="009B7306"/>
    <w:rsid w:val="009E2C0F"/>
    <w:rsid w:val="00A467CE"/>
    <w:rsid w:val="00A564D7"/>
    <w:rsid w:val="00A75D98"/>
    <w:rsid w:val="00AB21CD"/>
    <w:rsid w:val="00B03BAC"/>
    <w:rsid w:val="00BD31BB"/>
    <w:rsid w:val="00BF4CBE"/>
    <w:rsid w:val="00CA6A39"/>
    <w:rsid w:val="00CB11D5"/>
    <w:rsid w:val="00CB1373"/>
    <w:rsid w:val="00CB394F"/>
    <w:rsid w:val="00CB4344"/>
    <w:rsid w:val="00D01BD5"/>
    <w:rsid w:val="00D3676A"/>
    <w:rsid w:val="00D55A7B"/>
    <w:rsid w:val="00DA2692"/>
    <w:rsid w:val="00DC0C44"/>
    <w:rsid w:val="00DD1240"/>
    <w:rsid w:val="00E122FC"/>
    <w:rsid w:val="00E23518"/>
    <w:rsid w:val="00E2515B"/>
    <w:rsid w:val="00E25A38"/>
    <w:rsid w:val="00E33C22"/>
    <w:rsid w:val="00E63B02"/>
    <w:rsid w:val="00E646C7"/>
    <w:rsid w:val="00E801EF"/>
    <w:rsid w:val="00E85A6D"/>
    <w:rsid w:val="00EE463E"/>
    <w:rsid w:val="00EEE426"/>
    <w:rsid w:val="00F30195"/>
    <w:rsid w:val="00F33D0F"/>
    <w:rsid w:val="00F82ADD"/>
    <w:rsid w:val="00FA2110"/>
    <w:rsid w:val="00FA59F2"/>
    <w:rsid w:val="00FB0A36"/>
    <w:rsid w:val="00FE566C"/>
    <w:rsid w:val="00FE7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696BD9"/>
  <w15:chartTrackingRefBased/>
  <w15:docId w15:val="{F75A7C77-C2AE-44A1-A4B6-0065D3166B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2C0F"/>
    <w:rPr>
      <w:rFonts w:ascii="Calibri" w:hAnsi="Calibri" w:cs="Calibri"/>
    </w:rPr>
  </w:style>
  <w:style w:type="paragraph" w:styleId="Heading1">
    <w:name w:val="heading 1"/>
    <w:basedOn w:val="Normal"/>
    <w:next w:val="Normal"/>
    <w:link w:val="Heading1Char"/>
    <w:uiPriority w:val="9"/>
    <w:qFormat/>
    <w:rsid w:val="00070498"/>
    <w:pPr>
      <w:keepNext/>
      <w:keepLines/>
      <w:spacing w:before="240"/>
      <w:outlineLvl w:val="0"/>
    </w:pPr>
    <w:rPr>
      <w:rFonts w:ascii="Arial" w:hAnsi="Arial" w:eastAsiaTheme="majorEastAsia" w:cstheme="majorBidi"/>
      <w:b/>
      <w:color w:val="2E74B5" w:themeColor="accent1" w:themeShade="BF"/>
      <w:sz w:val="24"/>
      <w:szCs w:val="32"/>
    </w:rPr>
  </w:style>
  <w:style w:type="paragraph" w:styleId="Heading2">
    <w:name w:val="heading 2"/>
    <w:basedOn w:val="Normal"/>
    <w:next w:val="Normal"/>
    <w:link w:val="Heading2Char"/>
    <w:uiPriority w:val="9"/>
    <w:unhideWhenUsed/>
    <w:qFormat/>
    <w:rsid w:val="003E4F81"/>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5221B"/>
    <w:pPr>
      <w:keepNext/>
      <w:keepLines/>
      <w:spacing w:before="4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70498"/>
    <w:rPr>
      <w:rFonts w:ascii="Arial" w:hAnsi="Arial" w:eastAsiaTheme="majorEastAsia" w:cstheme="majorBidi"/>
      <w:b/>
      <w:color w:val="2E74B5" w:themeColor="accent1" w:themeShade="BF"/>
      <w:sz w:val="24"/>
      <w:szCs w:val="32"/>
    </w:rPr>
  </w:style>
  <w:style w:type="character" w:styleId="Hyperlink">
    <w:name w:val="Hyperlink"/>
    <w:basedOn w:val="DefaultParagraphFont"/>
    <w:uiPriority w:val="99"/>
    <w:unhideWhenUsed/>
    <w:rsid w:val="009E2C0F"/>
    <w:rPr>
      <w:color w:val="0563C1"/>
      <w:u w:val="single"/>
    </w:rPr>
  </w:style>
  <w:style w:type="paragraph" w:styleId="xmsonormal" w:customStyle="1">
    <w:name w:val="x_msonormal"/>
    <w:basedOn w:val="Normal"/>
    <w:rsid w:val="009E2C0F"/>
    <w:pPr>
      <w:spacing w:line="252" w:lineRule="auto"/>
    </w:pPr>
    <w:rPr>
      <w:lang w:eastAsia="en-GB"/>
    </w:rPr>
  </w:style>
  <w:style w:type="character" w:styleId="Heading2Char" w:customStyle="1">
    <w:name w:val="Heading 2 Char"/>
    <w:basedOn w:val="DefaultParagraphFont"/>
    <w:link w:val="Heading2"/>
    <w:uiPriority w:val="9"/>
    <w:rsid w:val="003E4F81"/>
    <w:rPr>
      <w:rFonts w:asciiTheme="majorHAnsi" w:hAnsiTheme="majorHAnsi" w:eastAsiaTheme="majorEastAsia" w:cstheme="majorBidi"/>
      <w:color w:val="2E74B5" w:themeColor="accent1" w:themeShade="BF"/>
      <w:sz w:val="26"/>
      <w:szCs w:val="26"/>
    </w:rPr>
  </w:style>
  <w:style w:type="character" w:styleId="CommentReference">
    <w:name w:val="annotation reference"/>
    <w:basedOn w:val="DefaultParagraphFont"/>
    <w:uiPriority w:val="99"/>
    <w:semiHidden/>
    <w:unhideWhenUsed/>
    <w:rsid w:val="00E646C7"/>
    <w:rPr>
      <w:sz w:val="16"/>
      <w:szCs w:val="16"/>
    </w:rPr>
  </w:style>
  <w:style w:type="paragraph" w:styleId="CommentText">
    <w:name w:val="annotation text"/>
    <w:basedOn w:val="Normal"/>
    <w:link w:val="CommentTextChar"/>
    <w:uiPriority w:val="99"/>
    <w:semiHidden/>
    <w:unhideWhenUsed/>
    <w:rsid w:val="00E646C7"/>
    <w:pPr>
      <w:widowControl w:val="0"/>
      <w:autoSpaceDE w:val="0"/>
      <w:autoSpaceDN w:val="0"/>
    </w:pPr>
    <w:rPr>
      <w:rFonts w:eastAsia="Calibri"/>
      <w:sz w:val="20"/>
      <w:szCs w:val="20"/>
    </w:rPr>
  </w:style>
  <w:style w:type="character" w:styleId="CommentTextChar" w:customStyle="1">
    <w:name w:val="Comment Text Char"/>
    <w:basedOn w:val="DefaultParagraphFont"/>
    <w:link w:val="CommentText"/>
    <w:uiPriority w:val="99"/>
    <w:semiHidden/>
    <w:rsid w:val="00E646C7"/>
    <w:rPr>
      <w:rFonts w:ascii="Calibri" w:hAnsi="Calibri" w:eastAsia="Calibri" w:cs="Calibri"/>
      <w:sz w:val="20"/>
      <w:szCs w:val="20"/>
    </w:rPr>
  </w:style>
  <w:style w:type="paragraph" w:styleId="BalloonText">
    <w:name w:val="Balloon Text"/>
    <w:basedOn w:val="Normal"/>
    <w:link w:val="BalloonTextChar"/>
    <w:uiPriority w:val="99"/>
    <w:semiHidden/>
    <w:unhideWhenUsed/>
    <w:rsid w:val="00E646C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646C7"/>
    <w:rPr>
      <w:rFonts w:ascii="Segoe UI" w:hAnsi="Segoe UI" w:cs="Segoe UI"/>
      <w:sz w:val="18"/>
      <w:szCs w:val="18"/>
    </w:rPr>
  </w:style>
  <w:style w:type="paragraph" w:styleId="ListParagraph">
    <w:name w:val="List Paragraph"/>
    <w:basedOn w:val="Normal"/>
    <w:uiPriority w:val="1"/>
    <w:qFormat/>
    <w:rsid w:val="004E5897"/>
    <w:pPr>
      <w:ind w:left="720"/>
    </w:pPr>
  </w:style>
  <w:style w:type="paragraph" w:styleId="CommentSubject">
    <w:name w:val="annotation subject"/>
    <w:basedOn w:val="CommentText"/>
    <w:next w:val="CommentText"/>
    <w:link w:val="CommentSubjectChar"/>
    <w:uiPriority w:val="99"/>
    <w:semiHidden/>
    <w:unhideWhenUsed/>
    <w:rsid w:val="00AB21CD"/>
    <w:pPr>
      <w:widowControl/>
      <w:autoSpaceDE/>
      <w:autoSpaceDN/>
    </w:pPr>
    <w:rPr>
      <w:rFonts w:eastAsiaTheme="minorHAnsi"/>
      <w:b/>
      <w:bCs/>
    </w:rPr>
  </w:style>
  <w:style w:type="character" w:styleId="CommentSubjectChar" w:customStyle="1">
    <w:name w:val="Comment Subject Char"/>
    <w:basedOn w:val="CommentTextChar"/>
    <w:link w:val="CommentSubject"/>
    <w:uiPriority w:val="99"/>
    <w:semiHidden/>
    <w:rsid w:val="00AB21CD"/>
    <w:rPr>
      <w:rFonts w:ascii="Calibri" w:hAnsi="Calibri" w:eastAsia="Calibri" w:cs="Calibri"/>
      <w:b/>
      <w:bCs/>
      <w:sz w:val="20"/>
      <w:szCs w:val="20"/>
    </w:rPr>
  </w:style>
  <w:style w:type="paragraph" w:styleId="Revision">
    <w:name w:val="Revision"/>
    <w:hidden/>
    <w:uiPriority w:val="99"/>
    <w:semiHidden/>
    <w:rsid w:val="00CB1373"/>
    <w:pPr>
      <w:spacing w:after="0" w:line="240" w:lineRule="auto"/>
    </w:pPr>
    <w:rPr>
      <w:rFonts w:ascii="Calibri" w:hAnsi="Calibri" w:cs="Calibri"/>
    </w:rPr>
  </w:style>
  <w:style w:type="character" w:styleId="Heading3Char" w:customStyle="1">
    <w:name w:val="Heading 3 Char"/>
    <w:basedOn w:val="DefaultParagraphFont"/>
    <w:link w:val="Heading3"/>
    <w:uiPriority w:val="9"/>
    <w:rsid w:val="0075221B"/>
    <w:rPr>
      <w:rFonts w:asciiTheme="majorHAnsi" w:hAnsiTheme="majorHAnsi" w:eastAsiaTheme="majorEastAsia" w:cstheme="majorBidi"/>
      <w:color w:val="1F4D78" w:themeColor="accent1" w:themeShade="7F"/>
      <w:sz w:val="24"/>
      <w:szCs w:val="24"/>
    </w:rPr>
  </w:style>
  <w:style w:type="paragraph" w:styleId="BodyText">
    <w:name w:val="Body Text"/>
    <w:basedOn w:val="Normal"/>
    <w:link w:val="BodyTextChar"/>
    <w:uiPriority w:val="1"/>
    <w:qFormat/>
    <w:rsid w:val="000E0FFA"/>
    <w:pPr>
      <w:widowControl w:val="0"/>
      <w:autoSpaceDE w:val="0"/>
      <w:autoSpaceDN w:val="0"/>
    </w:pPr>
    <w:rPr>
      <w:rFonts w:eastAsia="Calibri"/>
    </w:rPr>
  </w:style>
  <w:style w:type="character" w:styleId="BodyTextChar" w:customStyle="1">
    <w:name w:val="Body Text Char"/>
    <w:basedOn w:val="DefaultParagraphFont"/>
    <w:link w:val="BodyText"/>
    <w:uiPriority w:val="1"/>
    <w:rsid w:val="000E0FFA"/>
    <w:rPr>
      <w:rFonts w:ascii="Calibri" w:hAnsi="Calibri" w:eastAsia="Calibri" w:cs="Calibri"/>
    </w:rPr>
  </w:style>
  <w:style w:type="paragraph" w:styleId="TableParagraph" w:customStyle="1">
    <w:name w:val="Table Paragraph"/>
    <w:basedOn w:val="Normal"/>
    <w:uiPriority w:val="1"/>
    <w:qFormat/>
    <w:rsid w:val="000E0FFA"/>
    <w:pPr>
      <w:widowControl w:val="0"/>
      <w:autoSpaceDE w:val="0"/>
      <w:autoSpaceDN w:val="0"/>
      <w:spacing w:line="268" w:lineRule="exact"/>
      <w:ind w:left="107"/>
    </w:pPr>
    <w:rPr>
      <w:rFonts w:eastAsia="Calibri"/>
    </w:rPr>
  </w:style>
  <w:style w:type="character" w:styleId="Strong">
    <w:name w:val="Strong"/>
    <w:basedOn w:val="DefaultParagraphFont"/>
    <w:uiPriority w:val="22"/>
    <w:qFormat/>
    <w:rsid w:val="000E0FFA"/>
    <w:rPr>
      <w:b/>
      <w:bCs/>
    </w:rPr>
  </w:style>
  <w:style w:type="character" w:styleId="FollowedHyperlink">
    <w:name w:val="FollowedHyperlink"/>
    <w:basedOn w:val="DefaultParagraphFont"/>
    <w:uiPriority w:val="99"/>
    <w:semiHidden/>
    <w:unhideWhenUsed/>
    <w:rsid w:val="00D3676A"/>
    <w:rPr>
      <w:color w:val="954F72" w:themeColor="followedHyperlink"/>
      <w:u w:val="single"/>
    </w:rPr>
  </w:style>
  <w:style w:type="paragraph" w:styleId="Header">
    <w:name w:val="header"/>
    <w:basedOn w:val="Normal"/>
    <w:link w:val="HeaderChar"/>
    <w:uiPriority w:val="99"/>
    <w:unhideWhenUsed/>
    <w:rsid w:val="00FB0A36"/>
    <w:pPr>
      <w:tabs>
        <w:tab w:val="center" w:pos="4513"/>
        <w:tab w:val="right" w:pos="9026"/>
      </w:tabs>
    </w:pPr>
  </w:style>
  <w:style w:type="character" w:styleId="HeaderChar" w:customStyle="1">
    <w:name w:val="Header Char"/>
    <w:basedOn w:val="DefaultParagraphFont"/>
    <w:link w:val="Header"/>
    <w:uiPriority w:val="99"/>
    <w:rsid w:val="00FB0A36"/>
    <w:rPr>
      <w:rFonts w:ascii="Calibri" w:hAnsi="Calibri" w:cs="Calibri"/>
    </w:rPr>
  </w:style>
  <w:style w:type="paragraph" w:styleId="Footer">
    <w:name w:val="footer"/>
    <w:basedOn w:val="Normal"/>
    <w:link w:val="FooterChar"/>
    <w:uiPriority w:val="99"/>
    <w:unhideWhenUsed/>
    <w:rsid w:val="00FB0A36"/>
    <w:pPr>
      <w:tabs>
        <w:tab w:val="center" w:pos="4513"/>
        <w:tab w:val="right" w:pos="9026"/>
      </w:tabs>
    </w:pPr>
  </w:style>
  <w:style w:type="character" w:styleId="FooterChar" w:customStyle="1">
    <w:name w:val="Footer Char"/>
    <w:basedOn w:val="DefaultParagraphFont"/>
    <w:link w:val="Footer"/>
    <w:uiPriority w:val="99"/>
    <w:rsid w:val="00FB0A36"/>
    <w:rPr>
      <w:rFonts w:ascii="Calibri" w:hAnsi="Calibri" w:cs="Calibri"/>
    </w:rPr>
  </w:style>
  <w:style w:type="character" w:styleId="UnresolvedMention">
    <w:name w:val="Unresolved Mention"/>
    <w:basedOn w:val="DefaultParagraphFont"/>
    <w:uiPriority w:val="99"/>
    <w:semiHidden/>
    <w:unhideWhenUsed/>
    <w:rsid w:val="00380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6443">
      <w:bodyDiv w:val="1"/>
      <w:marLeft w:val="0"/>
      <w:marRight w:val="0"/>
      <w:marTop w:val="0"/>
      <w:marBottom w:val="0"/>
      <w:divBdr>
        <w:top w:val="none" w:sz="0" w:space="0" w:color="auto"/>
        <w:left w:val="none" w:sz="0" w:space="0" w:color="auto"/>
        <w:bottom w:val="none" w:sz="0" w:space="0" w:color="auto"/>
        <w:right w:val="none" w:sz="0" w:space="0" w:color="auto"/>
      </w:divBdr>
    </w:div>
    <w:div w:id="8232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pni.gov.uk/trusted-research"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webSettings" Target="webSettings.xml" Id="rId5" /><Relationship Type="http://schemas.openxmlformats.org/officeDocument/2006/relationships/image" Target="media/image1.emf" Id="rId10" /><Relationship Type="http://schemas.openxmlformats.org/officeDocument/2006/relationships/settings" Target="settings.xml" Id="rId4" /><Relationship Type="http://schemas.openxmlformats.org/officeDocument/2006/relationships/hyperlink" Target="https://www.lancaster.ac.uk/research/research-services/"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1B48E-4098-458D-AF27-8E79C34D0C1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Lancaster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Fox, Yvonne</dc:creator>
  <keywords/>
  <dc:description/>
  <lastModifiedBy>Wilkinson, Andrew</lastModifiedBy>
  <revision>5</revision>
  <dcterms:created xsi:type="dcterms:W3CDTF">2023-02-27T17:03:00.0000000Z</dcterms:created>
  <dcterms:modified xsi:type="dcterms:W3CDTF">2023-06-16T12:04:42.9148649Z</dcterms:modified>
</coreProperties>
</file>