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7A" w:rsidRPr="006A7862" w:rsidRDefault="00ED0F7A" w:rsidP="00ED0F7A">
      <w:pPr>
        <w:spacing w:after="120"/>
        <w:rPr>
          <w:b/>
          <w:u w:val="single"/>
          <w:lang w:val="en-GB"/>
        </w:rPr>
      </w:pPr>
    </w:p>
    <w:p w:rsidR="00ED0F7A" w:rsidRPr="00E65862" w:rsidRDefault="00ED0F7A" w:rsidP="00ED0F7A">
      <w:pPr>
        <w:spacing w:after="120"/>
        <w:jc w:val="center"/>
        <w:rPr>
          <w:b/>
          <w:lang w:val="en-GB"/>
        </w:rPr>
      </w:pPr>
      <w:r w:rsidRPr="006A7862">
        <w:rPr>
          <w:b/>
          <w:lang w:val="en-GB"/>
        </w:rPr>
        <w:t>APA Publication Style</w:t>
      </w:r>
      <w:r>
        <w:rPr>
          <w:b/>
          <w:lang w:val="en-GB"/>
        </w:rPr>
        <w:t xml:space="preserve"> (6</w:t>
      </w:r>
      <w:r w:rsidRPr="00E65862">
        <w:rPr>
          <w:b/>
          <w:vertAlign w:val="superscript"/>
          <w:lang w:val="en-GB"/>
        </w:rPr>
        <w:t>th</w:t>
      </w:r>
      <w:r>
        <w:rPr>
          <w:b/>
          <w:lang w:val="en-GB"/>
        </w:rPr>
        <w:t xml:space="preserve"> Edition)</w:t>
      </w:r>
    </w:p>
    <w:p w:rsidR="00ED0F7A" w:rsidRPr="006A7862" w:rsidRDefault="00ED0F7A" w:rsidP="00ED0F7A">
      <w:pPr>
        <w:spacing w:after="120"/>
        <w:rPr>
          <w:b/>
          <w:lang w:val="en-GB"/>
        </w:rPr>
      </w:pPr>
    </w:p>
    <w:p w:rsidR="00ED0F7A" w:rsidRPr="006A7862" w:rsidRDefault="00ED0F7A" w:rsidP="00ED0F7A">
      <w:pPr>
        <w:spacing w:after="120"/>
        <w:rPr>
          <w:lang w:val="en-GB"/>
        </w:rPr>
      </w:pPr>
      <w:r w:rsidRPr="006A7862">
        <w:rPr>
          <w:lang w:val="en-GB"/>
        </w:rPr>
        <w:t>To start with, let’s deal with some of those tricky questions:</w:t>
      </w:r>
    </w:p>
    <w:p w:rsidR="00ED0F7A" w:rsidRPr="006A7862" w:rsidRDefault="00ED0F7A" w:rsidP="00ED0F7A">
      <w:pPr>
        <w:spacing w:after="120"/>
        <w:rPr>
          <w:lang w:val="en-GB"/>
        </w:rPr>
      </w:pPr>
    </w:p>
    <w:p w:rsidR="00ED0F7A" w:rsidRPr="006A7862" w:rsidRDefault="00ED0F7A" w:rsidP="00ED0F7A">
      <w:pPr>
        <w:spacing w:after="120"/>
        <w:ind w:firstLine="720"/>
        <w:rPr>
          <w:i/>
          <w:lang w:val="en-GB"/>
        </w:rPr>
      </w:pPr>
      <w:r w:rsidRPr="006A7862">
        <w:rPr>
          <w:i/>
          <w:lang w:val="en-GB"/>
        </w:rPr>
        <w:t>Why do we need to know about this?</w:t>
      </w:r>
    </w:p>
    <w:p w:rsidR="00ED0F7A" w:rsidRPr="006A7862" w:rsidRDefault="00ED0F7A" w:rsidP="00ED0F7A">
      <w:pPr>
        <w:spacing w:after="120"/>
        <w:rPr>
          <w:lang w:val="en-GB"/>
        </w:rPr>
      </w:pPr>
      <w:r w:rsidRPr="006A7862">
        <w:rPr>
          <w:lang w:val="en-GB"/>
        </w:rPr>
        <w:t>Most of your work is supposed to conform to APA publication guidelines, as set out in the APA Publication Manual (APA, 2009). Also many journals and other organizations require that reports are set out according to APA guidelines.</w:t>
      </w:r>
    </w:p>
    <w:p w:rsidR="00ED0F7A" w:rsidRPr="006A7862" w:rsidRDefault="00ED0F7A" w:rsidP="00ED0F7A">
      <w:pPr>
        <w:spacing w:after="120"/>
        <w:rPr>
          <w:lang w:val="en-GB"/>
        </w:rPr>
      </w:pPr>
    </w:p>
    <w:p w:rsidR="00ED0F7A" w:rsidRPr="006A7862" w:rsidRDefault="00ED0F7A" w:rsidP="00ED0F7A">
      <w:pPr>
        <w:spacing w:after="120"/>
        <w:ind w:firstLine="720"/>
        <w:rPr>
          <w:i/>
          <w:lang w:val="en-GB"/>
        </w:rPr>
      </w:pPr>
      <w:proofErr w:type="spellStart"/>
      <w:r w:rsidRPr="006A7862">
        <w:rPr>
          <w:i/>
          <w:lang w:val="en-GB"/>
        </w:rPr>
        <w:t>Erm</w:t>
      </w:r>
      <w:proofErr w:type="spellEnd"/>
      <w:r w:rsidRPr="006A7862">
        <w:rPr>
          <w:i/>
          <w:lang w:val="en-GB"/>
        </w:rPr>
        <w:t>…excuse my ignorance, but…what, or who, is the APA?</w:t>
      </w:r>
    </w:p>
    <w:p w:rsidR="00ED0F7A" w:rsidRPr="006A7862" w:rsidRDefault="00ED0F7A" w:rsidP="00ED0F7A">
      <w:pPr>
        <w:spacing w:after="120"/>
        <w:rPr>
          <w:lang w:val="en-GB"/>
        </w:rPr>
      </w:pPr>
      <w:proofErr w:type="gramStart"/>
      <w:r w:rsidRPr="006A7862">
        <w:rPr>
          <w:lang w:val="en-GB"/>
        </w:rPr>
        <w:t>The American Psychological Association.</w:t>
      </w:r>
      <w:proofErr w:type="gramEnd"/>
      <w:r w:rsidRPr="006A7862">
        <w:rPr>
          <w:lang w:val="en-GB"/>
        </w:rPr>
        <w:t xml:space="preserve"> Not to be confused with the American Psychological Society, </w:t>
      </w:r>
      <w:proofErr w:type="gramStart"/>
      <w:r w:rsidRPr="006A7862">
        <w:rPr>
          <w:lang w:val="en-GB"/>
        </w:rPr>
        <w:t>which is now the Association for Psychological Science.</w:t>
      </w:r>
      <w:proofErr w:type="gramEnd"/>
      <w:r w:rsidRPr="006A7862">
        <w:rPr>
          <w:lang w:val="en-GB"/>
        </w:rPr>
        <w:t xml:space="preserve"> Or the Advertising Producers Association, or the Albanian Peoples -</w:t>
      </w:r>
    </w:p>
    <w:p w:rsidR="00ED0F7A" w:rsidRPr="006A7862" w:rsidRDefault="00ED0F7A" w:rsidP="00ED0F7A">
      <w:pPr>
        <w:spacing w:after="120"/>
        <w:rPr>
          <w:lang w:val="en-GB"/>
        </w:rPr>
      </w:pPr>
    </w:p>
    <w:p w:rsidR="00ED0F7A" w:rsidRPr="006A7862" w:rsidRDefault="00ED0F7A" w:rsidP="00ED0F7A">
      <w:pPr>
        <w:spacing w:after="120"/>
        <w:ind w:left="720"/>
        <w:rPr>
          <w:i/>
          <w:lang w:val="en-GB"/>
        </w:rPr>
      </w:pPr>
      <w:r w:rsidRPr="006A7862">
        <w:rPr>
          <w:i/>
          <w:lang w:val="en-GB"/>
        </w:rPr>
        <w:t>Goddammit, we’re British - why should we be interested in American publication style?</w:t>
      </w:r>
    </w:p>
    <w:p w:rsidR="00ED0F7A" w:rsidRPr="006A7862" w:rsidRDefault="00ED0F7A" w:rsidP="00ED0F7A">
      <w:pPr>
        <w:spacing w:after="120"/>
        <w:rPr>
          <w:lang w:val="en-GB"/>
        </w:rPr>
      </w:pPr>
      <w:r w:rsidRPr="006A7862">
        <w:rPr>
          <w:lang w:val="en-GB"/>
        </w:rPr>
        <w:t xml:space="preserve">Well, the Swiss Psychological Society recommends it, so we mustn’t be too proud. </w:t>
      </w:r>
      <w:proofErr w:type="gramStart"/>
      <w:r w:rsidRPr="006A7862">
        <w:rPr>
          <w:lang w:val="en-GB"/>
        </w:rPr>
        <w:t>And, for that matter, the Journal of Ecotourism, among many non-psychological publications.</w:t>
      </w:r>
      <w:proofErr w:type="gramEnd"/>
      <w:r w:rsidRPr="006A7862">
        <w:rPr>
          <w:lang w:val="en-GB"/>
        </w:rPr>
        <w:t xml:space="preserve"> (Yes, I know that’s technically American…) </w:t>
      </w:r>
    </w:p>
    <w:p w:rsidR="00ED0F7A" w:rsidRPr="006A7862" w:rsidRDefault="00ED0F7A" w:rsidP="00ED0F7A">
      <w:pPr>
        <w:spacing w:after="120"/>
        <w:rPr>
          <w:lang w:val="en-GB"/>
        </w:rPr>
      </w:pPr>
    </w:p>
    <w:p w:rsidR="00ED0F7A" w:rsidRPr="006A7862" w:rsidRDefault="00ED0F7A" w:rsidP="00ED0F7A">
      <w:pPr>
        <w:spacing w:after="120"/>
        <w:ind w:firstLine="720"/>
        <w:rPr>
          <w:i/>
          <w:lang w:val="en-GB"/>
        </w:rPr>
      </w:pPr>
      <w:r w:rsidRPr="006A7862">
        <w:rPr>
          <w:i/>
          <w:lang w:val="en-GB"/>
        </w:rPr>
        <w:t>OK then… so how does APA style differ from, say, BPS style?</w:t>
      </w:r>
    </w:p>
    <w:p w:rsidR="00ED0F7A" w:rsidRPr="006A7862" w:rsidRDefault="00ED0F7A" w:rsidP="00ED0F7A">
      <w:pPr>
        <w:spacing w:after="120"/>
        <w:rPr>
          <w:lang w:val="en-GB"/>
        </w:rPr>
      </w:pPr>
      <w:r w:rsidRPr="006A7862">
        <w:rPr>
          <w:lang w:val="en-GB"/>
        </w:rPr>
        <w:t>To tell the truth, there’s not a great deal of difference. Minor formatting foibles; whether you put the volume number in bold in your references, that kind of thing. In practice, once you’ve mastered APA style it’s pretty easy to adapt to other systems. And there are plenty of them. For example, Sage and Blackwell (who both publish psychology books and journals) have their own house style that differs (in places) from BPS and APA. Generally speaking, the more important issues in APA style – the reporting of statistical results – are fairly consistent across the board.</w:t>
      </w:r>
    </w:p>
    <w:p w:rsidR="00ED0F7A" w:rsidRPr="006A7862" w:rsidRDefault="00ED0F7A" w:rsidP="00ED0F7A">
      <w:pPr>
        <w:spacing w:after="120"/>
        <w:rPr>
          <w:lang w:val="en-GB"/>
        </w:rPr>
      </w:pPr>
    </w:p>
    <w:p w:rsidR="00ED0F7A" w:rsidRPr="00A37E39" w:rsidRDefault="00ED0F7A" w:rsidP="00ED0F7A">
      <w:pPr>
        <w:spacing w:after="120"/>
        <w:ind w:firstLine="720"/>
        <w:rPr>
          <w:i/>
          <w:lang w:val="en-GB"/>
        </w:rPr>
      </w:pPr>
      <w:r w:rsidRPr="00A37E39">
        <w:rPr>
          <w:i/>
          <w:lang w:val="en-GB"/>
        </w:rPr>
        <w:t xml:space="preserve">I’m doing an IPA study, what </w:t>
      </w:r>
      <w:proofErr w:type="gramStart"/>
      <w:r w:rsidRPr="00A37E39">
        <w:rPr>
          <w:i/>
          <w:lang w:val="en-GB"/>
        </w:rPr>
        <w:t>do</w:t>
      </w:r>
      <w:proofErr w:type="gramEnd"/>
      <w:r w:rsidRPr="00A37E39">
        <w:rPr>
          <w:i/>
          <w:lang w:val="en-GB"/>
        </w:rPr>
        <w:t xml:space="preserve"> the APA say about that?</w:t>
      </w:r>
    </w:p>
    <w:p w:rsidR="00ED0F7A" w:rsidRPr="006A7862" w:rsidRDefault="00ED0F7A" w:rsidP="00ED0F7A">
      <w:pPr>
        <w:spacing w:after="120"/>
        <w:rPr>
          <w:lang w:val="en-GB"/>
        </w:rPr>
      </w:pPr>
      <w:r w:rsidRPr="00A37E39">
        <w:rPr>
          <w:lang w:val="en-GB"/>
        </w:rPr>
        <w:t>Guidelines for preparing reports using qualitative research are mysteriously lacking in the APA manual. This may be related to the mysterious absence of qualitative research from APA journals. As a rule of thumb, if th</w:t>
      </w:r>
      <w:r>
        <w:rPr>
          <w:lang w:val="en-GB"/>
        </w:rPr>
        <w:t xml:space="preserve">e APA don’t advise on something, </w:t>
      </w:r>
      <w:r w:rsidRPr="00A37E39">
        <w:rPr>
          <w:lang w:val="en-GB"/>
        </w:rPr>
        <w:t>it’s probably safest to follow the format of a BPS journal or a reliable (psychology) journal from one of the leading UK publishers.</w:t>
      </w:r>
      <w:r>
        <w:rPr>
          <w:lang w:val="en-GB"/>
        </w:rPr>
        <w:t xml:space="preserve"> The APA </w:t>
      </w:r>
      <w:proofErr w:type="gramStart"/>
      <w:r>
        <w:rPr>
          <w:lang w:val="en-GB"/>
        </w:rPr>
        <w:t>do</w:t>
      </w:r>
      <w:proofErr w:type="gramEnd"/>
      <w:r>
        <w:rPr>
          <w:lang w:val="en-GB"/>
        </w:rPr>
        <w:t>, however, provide guidance on the layout of block quotes. This will be covered later in the Quotations section.</w:t>
      </w:r>
    </w:p>
    <w:p w:rsidR="00ED0F7A" w:rsidRPr="006A7862" w:rsidRDefault="00ED0F7A" w:rsidP="00ED0F7A">
      <w:pPr>
        <w:spacing w:after="120"/>
        <w:rPr>
          <w:lang w:val="en-GB"/>
        </w:rPr>
      </w:pPr>
    </w:p>
    <w:p w:rsidR="00ED0F7A" w:rsidRPr="006A7862" w:rsidRDefault="00ED0F7A" w:rsidP="00ED0F7A">
      <w:pPr>
        <w:spacing w:after="120"/>
        <w:jc w:val="center"/>
        <w:rPr>
          <w:b/>
          <w:lang w:val="en-GB"/>
        </w:rPr>
      </w:pPr>
      <w:r w:rsidRPr="006A7862">
        <w:rPr>
          <w:b/>
          <w:lang w:val="en-GB"/>
        </w:rPr>
        <w:lastRenderedPageBreak/>
        <w:t xml:space="preserve">Key Aspects </w:t>
      </w:r>
      <w:proofErr w:type="gramStart"/>
      <w:r w:rsidRPr="006A7862">
        <w:rPr>
          <w:b/>
          <w:lang w:val="en-GB"/>
        </w:rPr>
        <w:t>Of</w:t>
      </w:r>
      <w:proofErr w:type="gramEnd"/>
      <w:r w:rsidRPr="006A7862">
        <w:rPr>
          <w:b/>
          <w:lang w:val="en-GB"/>
        </w:rPr>
        <w:t xml:space="preserve"> APA Publishing Style</w:t>
      </w:r>
    </w:p>
    <w:p w:rsidR="00ED0F7A" w:rsidRPr="00B87D50" w:rsidRDefault="00ED0F7A" w:rsidP="00ED0F7A">
      <w:pPr>
        <w:spacing w:after="120"/>
        <w:rPr>
          <w:lang w:val="en-GB"/>
        </w:rPr>
      </w:pPr>
      <w:r w:rsidRPr="006A7862">
        <w:rPr>
          <w:lang w:val="en-GB"/>
        </w:rPr>
        <w:t>The APA manual has advice on</w:t>
      </w:r>
      <w:r w:rsidRPr="006A7862">
        <w:rPr>
          <w:b/>
          <w:lang w:val="en-GB"/>
        </w:rPr>
        <w:t xml:space="preserve"> </w:t>
      </w:r>
      <w:r w:rsidRPr="006A7862">
        <w:rPr>
          <w:lang w:val="en-GB"/>
        </w:rPr>
        <w:t>everything</w:t>
      </w:r>
      <w:r w:rsidRPr="006A7862">
        <w:rPr>
          <w:b/>
          <w:lang w:val="en-GB"/>
        </w:rPr>
        <w:t xml:space="preserve"> </w:t>
      </w:r>
      <w:r w:rsidRPr="006A7862">
        <w:rPr>
          <w:lang w:val="en-GB"/>
        </w:rPr>
        <w:t>from preparing your manuscript for publication down to where to use [brackets] as opposed to (parentheses) and where to put full stops in references. In this document we’ve tried to boil it down to just a few highlights based on our own experiences of reading trainee work.</w:t>
      </w:r>
      <w:r>
        <w:rPr>
          <w:lang w:val="en-GB"/>
        </w:rPr>
        <w:t xml:space="preserve"> </w:t>
      </w:r>
    </w:p>
    <w:p w:rsidR="00ED0F7A" w:rsidRDefault="00ED0F7A" w:rsidP="00ED0F7A">
      <w:pPr>
        <w:spacing w:after="120"/>
        <w:rPr>
          <w:b/>
          <w:lang w:val="en-GB"/>
        </w:rPr>
      </w:pPr>
      <w:r>
        <w:rPr>
          <w:b/>
          <w:lang w:val="en-GB"/>
        </w:rPr>
        <w:t xml:space="preserve">Structure </w:t>
      </w:r>
      <w:proofErr w:type="gramStart"/>
      <w:r>
        <w:rPr>
          <w:b/>
          <w:lang w:val="en-GB"/>
        </w:rPr>
        <w:t>Of</w:t>
      </w:r>
      <w:proofErr w:type="gramEnd"/>
      <w:r>
        <w:rPr>
          <w:b/>
          <w:lang w:val="en-GB"/>
        </w:rPr>
        <w:t xml:space="preserve"> The Paper And Headings</w:t>
      </w:r>
    </w:p>
    <w:p w:rsidR="00ED0F7A" w:rsidRPr="002F4CBE" w:rsidRDefault="00ED0F7A" w:rsidP="00ED0F7A">
      <w:pPr>
        <w:spacing w:after="120"/>
        <w:rPr>
          <w:lang w:val="en-GB"/>
        </w:rPr>
      </w:pPr>
      <w:r>
        <w:rPr>
          <w:lang w:val="en-GB"/>
        </w:rPr>
        <w:t>Papers will generally be structured in sections denoted by headings. APA style has five levels of headings, the formatting of which is described below. This formatting is new in the 6</w:t>
      </w:r>
      <w:r w:rsidRPr="00003055">
        <w:rPr>
          <w:vertAlign w:val="superscript"/>
          <w:lang w:val="en-GB"/>
        </w:rPr>
        <w:t>th</w:t>
      </w:r>
      <w:r>
        <w:rPr>
          <w:lang w:val="en-GB"/>
        </w:rPr>
        <w:t xml:space="preserve"> edition of the Publication Manual. These levels of headings must be used consecutively starting at Level 1.</w:t>
      </w:r>
    </w:p>
    <w:p w:rsidR="00ED0F7A" w:rsidRDefault="00ED0F7A" w:rsidP="00ED0F7A">
      <w:pPr>
        <w:spacing w:after="120"/>
        <w:rPr>
          <w:b/>
          <w:lang w:val="en-GB"/>
        </w:rPr>
      </w:pPr>
      <w:r>
        <w:rPr>
          <w:b/>
          <w:noProof/>
          <w:lang w:val="en-GB" w:eastAsia="en-GB"/>
        </w:rPr>
        <w:drawing>
          <wp:inline distT="0" distB="0" distL="0" distR="0" wp14:anchorId="34084EFF" wp14:editId="3DCB61AE">
            <wp:extent cx="5478145" cy="1524000"/>
            <wp:effectExtent l="2540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78145" cy="1524000"/>
                    </a:xfrm>
                    <a:prstGeom prst="rect">
                      <a:avLst/>
                    </a:prstGeom>
                    <a:noFill/>
                    <a:ln w="9525">
                      <a:noFill/>
                      <a:miter lim="800000"/>
                      <a:headEnd/>
                      <a:tailEnd/>
                    </a:ln>
                  </pic:spPr>
                </pic:pic>
              </a:graphicData>
            </a:graphic>
          </wp:inline>
        </w:drawing>
      </w:r>
    </w:p>
    <w:p w:rsidR="00ED0F7A" w:rsidRPr="004E32DE" w:rsidRDefault="00ED0F7A" w:rsidP="00ED0F7A">
      <w:pPr>
        <w:spacing w:after="120"/>
        <w:rPr>
          <w:lang w:val="en-GB"/>
        </w:rPr>
      </w:pPr>
      <w:r>
        <w:rPr>
          <w:lang w:val="en-GB"/>
        </w:rPr>
        <w:t>Most research papers will be structured in the traditional Introduction, Method, Results and Discussion sections. These sections are often split up into subsections, some of which are optional. The type and level of headings generally used for each section in a one-study paper are shown below.</w:t>
      </w:r>
    </w:p>
    <w:p w:rsidR="00ED0F7A" w:rsidRDefault="00ED0F7A" w:rsidP="00ED0F7A">
      <w:pPr>
        <w:spacing w:after="120"/>
        <w:rPr>
          <w:b/>
          <w:lang w:val="en-GB"/>
        </w:rPr>
      </w:pPr>
      <w:r>
        <w:rPr>
          <w:b/>
          <w:lang w:val="en-GB"/>
        </w:rPr>
        <w:t>Sections and headings of a one-study paper</w:t>
      </w:r>
    </w:p>
    <w:tbl>
      <w:tblPr>
        <w:tblW w:w="9180" w:type="dxa"/>
        <w:tblLook w:val="00A0" w:firstRow="1" w:lastRow="0" w:firstColumn="1" w:lastColumn="0" w:noHBand="0" w:noVBand="0"/>
      </w:tblPr>
      <w:tblGrid>
        <w:gridCol w:w="2952"/>
        <w:gridCol w:w="1976"/>
        <w:gridCol w:w="4252"/>
      </w:tblGrid>
      <w:tr w:rsidR="00ED0F7A" w:rsidRPr="00E226F3">
        <w:tc>
          <w:tcPr>
            <w:tcW w:w="2952" w:type="dxa"/>
            <w:tcBorders>
              <w:top w:val="single" w:sz="4" w:space="0" w:color="auto"/>
              <w:bottom w:val="single" w:sz="4" w:space="0" w:color="auto"/>
            </w:tcBorders>
          </w:tcPr>
          <w:p w:rsidR="00ED0F7A" w:rsidRPr="00E226F3" w:rsidRDefault="00ED0F7A" w:rsidP="007741A5">
            <w:pPr>
              <w:rPr>
                <w:sz w:val="20"/>
                <w:lang w:val="en-GB"/>
              </w:rPr>
            </w:pPr>
            <w:r w:rsidRPr="00E226F3">
              <w:rPr>
                <w:sz w:val="20"/>
                <w:lang w:val="en-GB"/>
              </w:rPr>
              <w:t>Section</w:t>
            </w:r>
          </w:p>
        </w:tc>
        <w:tc>
          <w:tcPr>
            <w:tcW w:w="1976" w:type="dxa"/>
            <w:tcBorders>
              <w:top w:val="single" w:sz="4" w:space="0" w:color="auto"/>
              <w:bottom w:val="single" w:sz="4" w:space="0" w:color="auto"/>
            </w:tcBorders>
          </w:tcPr>
          <w:p w:rsidR="00ED0F7A" w:rsidRPr="00E226F3" w:rsidRDefault="00ED0F7A" w:rsidP="007741A5">
            <w:pPr>
              <w:rPr>
                <w:sz w:val="20"/>
                <w:lang w:val="en-GB"/>
              </w:rPr>
            </w:pPr>
          </w:p>
        </w:tc>
        <w:tc>
          <w:tcPr>
            <w:tcW w:w="4252" w:type="dxa"/>
            <w:tcBorders>
              <w:top w:val="single" w:sz="4" w:space="0" w:color="auto"/>
              <w:bottom w:val="single" w:sz="4" w:space="0" w:color="auto"/>
            </w:tcBorders>
          </w:tcPr>
          <w:p w:rsidR="00ED0F7A" w:rsidRPr="00E226F3" w:rsidRDefault="00ED0F7A" w:rsidP="007741A5">
            <w:pPr>
              <w:rPr>
                <w:sz w:val="20"/>
                <w:lang w:val="en-GB"/>
              </w:rPr>
            </w:pPr>
            <w:r w:rsidRPr="00E226F3">
              <w:rPr>
                <w:sz w:val="20"/>
                <w:lang w:val="en-GB"/>
              </w:rPr>
              <w:t>Heading description &amp; level (where applicable)</w:t>
            </w:r>
          </w:p>
        </w:tc>
      </w:tr>
      <w:tr w:rsidR="00ED0F7A" w:rsidRPr="00E226F3">
        <w:tc>
          <w:tcPr>
            <w:tcW w:w="2952" w:type="dxa"/>
            <w:tcBorders>
              <w:top w:val="single" w:sz="4" w:space="0" w:color="auto"/>
            </w:tcBorders>
          </w:tcPr>
          <w:p w:rsidR="00ED0F7A" w:rsidRPr="00E226F3" w:rsidRDefault="00ED0F7A" w:rsidP="007741A5">
            <w:pPr>
              <w:rPr>
                <w:sz w:val="20"/>
                <w:lang w:val="en-GB"/>
              </w:rPr>
            </w:pPr>
            <w:r w:rsidRPr="00E226F3">
              <w:rPr>
                <w:sz w:val="20"/>
                <w:lang w:val="en-GB"/>
              </w:rPr>
              <w:t>Title page</w:t>
            </w:r>
          </w:p>
        </w:tc>
        <w:tc>
          <w:tcPr>
            <w:tcW w:w="1976" w:type="dxa"/>
            <w:tcBorders>
              <w:top w:val="single" w:sz="4" w:space="0" w:color="auto"/>
            </w:tcBorders>
          </w:tcPr>
          <w:p w:rsidR="00ED0F7A" w:rsidRPr="00E226F3" w:rsidRDefault="00ED0F7A" w:rsidP="007741A5">
            <w:pPr>
              <w:rPr>
                <w:sz w:val="20"/>
                <w:lang w:val="en-GB"/>
              </w:rPr>
            </w:pPr>
            <w:r w:rsidRPr="00E226F3">
              <w:rPr>
                <w:sz w:val="20"/>
                <w:lang w:val="en-GB"/>
              </w:rPr>
              <w:t>Running head</w:t>
            </w:r>
          </w:p>
          <w:p w:rsidR="00ED0F7A" w:rsidRPr="00E226F3" w:rsidRDefault="00ED0F7A" w:rsidP="007741A5">
            <w:pPr>
              <w:rPr>
                <w:sz w:val="20"/>
                <w:lang w:val="en-GB"/>
              </w:rPr>
            </w:pPr>
            <w:r w:rsidRPr="00E226F3">
              <w:rPr>
                <w:sz w:val="20"/>
                <w:lang w:val="en-GB"/>
              </w:rPr>
              <w:t>Title</w:t>
            </w:r>
          </w:p>
          <w:p w:rsidR="00ED0F7A" w:rsidRPr="00E226F3" w:rsidRDefault="00ED0F7A" w:rsidP="007741A5">
            <w:pPr>
              <w:rPr>
                <w:sz w:val="20"/>
                <w:lang w:val="en-GB"/>
              </w:rPr>
            </w:pPr>
            <w:r w:rsidRPr="00E226F3">
              <w:rPr>
                <w:sz w:val="20"/>
                <w:lang w:val="en-GB"/>
              </w:rPr>
              <w:t>Authors</w:t>
            </w:r>
          </w:p>
          <w:p w:rsidR="00ED0F7A" w:rsidRPr="00E226F3" w:rsidRDefault="00ED0F7A" w:rsidP="007741A5">
            <w:pPr>
              <w:rPr>
                <w:sz w:val="20"/>
                <w:lang w:val="en-GB"/>
              </w:rPr>
            </w:pPr>
            <w:r w:rsidRPr="00E226F3">
              <w:rPr>
                <w:sz w:val="20"/>
                <w:lang w:val="en-GB"/>
              </w:rPr>
              <w:t xml:space="preserve">Affiliation </w:t>
            </w:r>
          </w:p>
        </w:tc>
        <w:tc>
          <w:tcPr>
            <w:tcW w:w="4252" w:type="dxa"/>
            <w:tcBorders>
              <w:top w:val="single" w:sz="4" w:space="0" w:color="auto"/>
            </w:tcBorders>
          </w:tcPr>
          <w:p w:rsidR="00ED0F7A" w:rsidRPr="00E226F3" w:rsidRDefault="00ED0F7A" w:rsidP="007741A5">
            <w:pPr>
              <w:rPr>
                <w:sz w:val="20"/>
                <w:lang w:val="en-GB"/>
              </w:rPr>
            </w:pPr>
            <w:r w:rsidRPr="00E226F3">
              <w:rPr>
                <w:sz w:val="20"/>
                <w:lang w:val="en-GB"/>
              </w:rPr>
              <w:t>Running head: CAPITALISED</w:t>
            </w:r>
          </w:p>
          <w:p w:rsidR="00ED0F7A" w:rsidRPr="00E226F3" w:rsidRDefault="00ED0F7A" w:rsidP="007741A5">
            <w:pPr>
              <w:jc w:val="center"/>
              <w:rPr>
                <w:sz w:val="20"/>
                <w:lang w:val="en-GB"/>
              </w:rPr>
            </w:pPr>
            <w:r w:rsidRPr="00E226F3">
              <w:rPr>
                <w:sz w:val="20"/>
                <w:lang w:val="en-GB"/>
              </w:rPr>
              <w:t>Title Of The Paper</w:t>
            </w:r>
          </w:p>
          <w:p w:rsidR="00ED0F7A" w:rsidRPr="00E226F3" w:rsidRDefault="00ED0F7A" w:rsidP="007741A5">
            <w:pPr>
              <w:jc w:val="center"/>
              <w:rPr>
                <w:sz w:val="20"/>
                <w:lang w:val="en-GB"/>
              </w:rPr>
            </w:pPr>
            <w:r w:rsidRPr="00E226F3">
              <w:rPr>
                <w:sz w:val="20"/>
                <w:lang w:val="en-GB"/>
              </w:rPr>
              <w:t>Author Name</w:t>
            </w:r>
          </w:p>
          <w:p w:rsidR="00ED0F7A" w:rsidRPr="00E226F3" w:rsidRDefault="00ED0F7A" w:rsidP="007741A5">
            <w:pPr>
              <w:jc w:val="center"/>
              <w:rPr>
                <w:sz w:val="20"/>
                <w:lang w:val="en-GB"/>
              </w:rPr>
            </w:pPr>
            <w:r w:rsidRPr="00E226F3">
              <w:rPr>
                <w:sz w:val="20"/>
                <w:lang w:val="en-GB"/>
              </w:rPr>
              <w:t>Lancaster University</w:t>
            </w:r>
          </w:p>
        </w:tc>
      </w:tr>
      <w:tr w:rsidR="00ED0F7A" w:rsidRPr="00E226F3">
        <w:tc>
          <w:tcPr>
            <w:tcW w:w="2952" w:type="dxa"/>
          </w:tcPr>
          <w:p w:rsidR="00ED0F7A" w:rsidRPr="00E226F3" w:rsidRDefault="00ED0F7A" w:rsidP="007741A5">
            <w:pPr>
              <w:rPr>
                <w:sz w:val="20"/>
                <w:lang w:val="en-GB"/>
              </w:rPr>
            </w:pPr>
            <w:r w:rsidRPr="00E226F3">
              <w:rPr>
                <w:sz w:val="20"/>
                <w:lang w:val="en-GB"/>
              </w:rPr>
              <w:t>Abstract page</w:t>
            </w:r>
          </w:p>
        </w:tc>
        <w:tc>
          <w:tcPr>
            <w:tcW w:w="1976" w:type="dxa"/>
          </w:tcPr>
          <w:p w:rsidR="00ED0F7A" w:rsidRPr="00E226F3" w:rsidRDefault="00ED0F7A" w:rsidP="007741A5">
            <w:pPr>
              <w:rPr>
                <w:sz w:val="20"/>
                <w:lang w:val="en-GB"/>
              </w:rPr>
            </w:pPr>
            <w:r w:rsidRPr="00E226F3">
              <w:rPr>
                <w:sz w:val="20"/>
                <w:lang w:val="en-GB"/>
              </w:rPr>
              <w:t>Abstract</w:t>
            </w:r>
          </w:p>
        </w:tc>
        <w:tc>
          <w:tcPr>
            <w:tcW w:w="4252" w:type="dxa"/>
          </w:tcPr>
          <w:p w:rsidR="00ED0F7A" w:rsidRPr="00E226F3" w:rsidRDefault="00ED0F7A" w:rsidP="007741A5">
            <w:pPr>
              <w:jc w:val="center"/>
              <w:rPr>
                <w:sz w:val="20"/>
                <w:lang w:val="en-GB"/>
              </w:rPr>
            </w:pPr>
            <w:r w:rsidRPr="00E226F3">
              <w:rPr>
                <w:sz w:val="20"/>
                <w:lang w:val="en-GB"/>
              </w:rPr>
              <w:t>Abstract</w:t>
            </w:r>
          </w:p>
        </w:tc>
      </w:tr>
      <w:tr w:rsidR="00ED0F7A" w:rsidRPr="00E226F3">
        <w:tc>
          <w:tcPr>
            <w:tcW w:w="2952" w:type="dxa"/>
            <w:tcBorders>
              <w:bottom w:val="single" w:sz="4" w:space="0" w:color="auto"/>
            </w:tcBorders>
          </w:tcPr>
          <w:p w:rsidR="00ED0F7A" w:rsidRPr="00E226F3" w:rsidRDefault="00ED0F7A" w:rsidP="007741A5">
            <w:pPr>
              <w:rPr>
                <w:sz w:val="20"/>
                <w:lang w:val="en-GB"/>
              </w:rPr>
            </w:pPr>
            <w:r w:rsidRPr="00E226F3">
              <w:rPr>
                <w:sz w:val="20"/>
                <w:lang w:val="en-GB"/>
              </w:rPr>
              <w:t>Introduction</w:t>
            </w:r>
          </w:p>
        </w:tc>
        <w:tc>
          <w:tcPr>
            <w:tcW w:w="1976" w:type="dxa"/>
            <w:tcBorders>
              <w:bottom w:val="single" w:sz="4" w:space="0" w:color="auto"/>
            </w:tcBorders>
          </w:tcPr>
          <w:p w:rsidR="00ED0F7A" w:rsidRPr="00E226F3" w:rsidRDefault="00ED0F7A" w:rsidP="007741A5">
            <w:pPr>
              <w:rPr>
                <w:sz w:val="20"/>
                <w:lang w:val="en-GB"/>
              </w:rPr>
            </w:pPr>
            <w:r w:rsidRPr="00E226F3">
              <w:rPr>
                <w:sz w:val="20"/>
                <w:lang w:val="en-GB"/>
              </w:rPr>
              <w:t>Heading = title text</w:t>
            </w:r>
          </w:p>
        </w:tc>
        <w:tc>
          <w:tcPr>
            <w:tcW w:w="4252" w:type="dxa"/>
            <w:tcBorders>
              <w:bottom w:val="single" w:sz="4" w:space="0" w:color="auto"/>
            </w:tcBorders>
          </w:tcPr>
          <w:p w:rsidR="00ED0F7A" w:rsidRPr="00E226F3" w:rsidRDefault="00ED0F7A" w:rsidP="007741A5">
            <w:pPr>
              <w:jc w:val="center"/>
              <w:rPr>
                <w:sz w:val="20"/>
                <w:lang w:val="en-GB"/>
              </w:rPr>
            </w:pPr>
            <w:r w:rsidRPr="00E226F3">
              <w:rPr>
                <w:sz w:val="20"/>
                <w:lang w:val="en-GB"/>
              </w:rPr>
              <w:t>The Title Of My Paper</w:t>
            </w:r>
          </w:p>
        </w:tc>
      </w:tr>
      <w:tr w:rsidR="00ED0F7A" w:rsidRPr="00E226F3">
        <w:tc>
          <w:tcPr>
            <w:tcW w:w="2952" w:type="dxa"/>
            <w:tcBorders>
              <w:top w:val="single" w:sz="4" w:space="0" w:color="auto"/>
              <w:bottom w:val="single" w:sz="4" w:space="0" w:color="auto"/>
            </w:tcBorders>
          </w:tcPr>
          <w:p w:rsidR="00ED0F7A" w:rsidRPr="00E226F3" w:rsidRDefault="00ED0F7A" w:rsidP="007741A5">
            <w:pPr>
              <w:rPr>
                <w:sz w:val="20"/>
                <w:lang w:val="en-GB"/>
              </w:rPr>
            </w:pPr>
            <w:r w:rsidRPr="00E226F3">
              <w:rPr>
                <w:sz w:val="20"/>
                <w:lang w:val="en-GB"/>
              </w:rPr>
              <w:t>Method</w:t>
            </w:r>
          </w:p>
          <w:p w:rsidR="00ED0F7A" w:rsidRPr="00E226F3" w:rsidRDefault="00ED0F7A" w:rsidP="007741A5">
            <w:pPr>
              <w:rPr>
                <w:sz w:val="20"/>
                <w:lang w:val="en-GB"/>
              </w:rPr>
            </w:pPr>
          </w:p>
          <w:p w:rsidR="00ED0F7A" w:rsidRPr="00E226F3" w:rsidRDefault="00ED0F7A" w:rsidP="007741A5">
            <w:pPr>
              <w:rPr>
                <w:sz w:val="20"/>
                <w:lang w:val="en-GB"/>
              </w:rPr>
            </w:pPr>
          </w:p>
          <w:p w:rsidR="00ED0F7A" w:rsidRPr="00E226F3" w:rsidRDefault="00ED0F7A" w:rsidP="007741A5">
            <w:pPr>
              <w:rPr>
                <w:sz w:val="20"/>
                <w:lang w:val="en-GB"/>
              </w:rPr>
            </w:pPr>
            <w:r w:rsidRPr="00E226F3">
              <w:rPr>
                <w:sz w:val="20"/>
                <w:lang w:val="en-GB"/>
              </w:rPr>
              <w:t>(Optional)</w:t>
            </w:r>
          </w:p>
          <w:p w:rsidR="00ED0F7A" w:rsidRPr="00E226F3" w:rsidRDefault="00ED0F7A" w:rsidP="007741A5">
            <w:pPr>
              <w:rPr>
                <w:sz w:val="20"/>
                <w:lang w:val="en-GB"/>
              </w:rPr>
            </w:pPr>
          </w:p>
          <w:p w:rsidR="00ED0F7A" w:rsidRPr="00E226F3" w:rsidRDefault="00ED0F7A" w:rsidP="007741A5">
            <w:pPr>
              <w:rPr>
                <w:sz w:val="20"/>
                <w:lang w:val="en-GB"/>
              </w:rPr>
            </w:pPr>
            <w:r w:rsidRPr="00E226F3">
              <w:rPr>
                <w:sz w:val="20"/>
                <w:lang w:val="en-GB"/>
              </w:rPr>
              <w:t>(Optional)</w:t>
            </w:r>
          </w:p>
          <w:p w:rsidR="00ED0F7A" w:rsidRPr="00E226F3" w:rsidRDefault="00ED0F7A" w:rsidP="007741A5">
            <w:pPr>
              <w:rPr>
                <w:sz w:val="20"/>
                <w:lang w:val="en-GB"/>
              </w:rPr>
            </w:pPr>
            <w:r w:rsidRPr="00E226F3">
              <w:rPr>
                <w:sz w:val="20"/>
                <w:lang w:val="en-GB"/>
              </w:rPr>
              <w:t>(Other optional subsections)</w:t>
            </w:r>
          </w:p>
        </w:tc>
        <w:tc>
          <w:tcPr>
            <w:tcW w:w="1976" w:type="dxa"/>
            <w:tcBorders>
              <w:top w:val="single" w:sz="4" w:space="0" w:color="auto"/>
              <w:bottom w:val="single" w:sz="4" w:space="0" w:color="auto"/>
            </w:tcBorders>
          </w:tcPr>
          <w:p w:rsidR="00ED0F7A" w:rsidRPr="00E226F3" w:rsidRDefault="00ED0F7A" w:rsidP="007741A5">
            <w:pPr>
              <w:rPr>
                <w:sz w:val="20"/>
                <w:lang w:val="en-GB"/>
              </w:rPr>
            </w:pPr>
            <w:r w:rsidRPr="00E226F3">
              <w:rPr>
                <w:sz w:val="20"/>
                <w:lang w:val="en-GB"/>
              </w:rPr>
              <w:t>Method</w:t>
            </w:r>
          </w:p>
          <w:p w:rsidR="00ED0F7A" w:rsidRPr="00E226F3" w:rsidRDefault="00ED0F7A" w:rsidP="007741A5">
            <w:pPr>
              <w:rPr>
                <w:sz w:val="20"/>
                <w:lang w:val="en-GB"/>
              </w:rPr>
            </w:pPr>
            <w:r w:rsidRPr="00E226F3">
              <w:rPr>
                <w:sz w:val="20"/>
                <w:lang w:val="en-GB"/>
              </w:rPr>
              <w:t>Participants</w:t>
            </w:r>
          </w:p>
          <w:p w:rsidR="00ED0F7A" w:rsidRPr="00E226F3" w:rsidRDefault="00ED0F7A" w:rsidP="007741A5">
            <w:pPr>
              <w:rPr>
                <w:sz w:val="20"/>
                <w:lang w:val="en-GB"/>
              </w:rPr>
            </w:pPr>
            <w:r w:rsidRPr="00E226F3">
              <w:rPr>
                <w:sz w:val="20"/>
                <w:lang w:val="en-GB"/>
              </w:rPr>
              <w:t>Materials</w:t>
            </w:r>
          </w:p>
          <w:p w:rsidR="00ED0F7A" w:rsidRPr="00E226F3" w:rsidRDefault="00ED0F7A" w:rsidP="007741A5">
            <w:pPr>
              <w:rPr>
                <w:sz w:val="20"/>
                <w:lang w:val="en-GB"/>
              </w:rPr>
            </w:pPr>
            <w:r w:rsidRPr="00E226F3">
              <w:rPr>
                <w:sz w:val="20"/>
                <w:lang w:val="en-GB"/>
              </w:rPr>
              <w:t>Design</w:t>
            </w:r>
          </w:p>
          <w:p w:rsidR="00ED0F7A" w:rsidRPr="00E226F3" w:rsidRDefault="00ED0F7A" w:rsidP="007741A5">
            <w:pPr>
              <w:rPr>
                <w:sz w:val="20"/>
                <w:lang w:val="en-GB"/>
              </w:rPr>
            </w:pPr>
            <w:r w:rsidRPr="00E226F3">
              <w:rPr>
                <w:sz w:val="20"/>
                <w:lang w:val="en-GB"/>
              </w:rPr>
              <w:t>Procedure</w:t>
            </w:r>
          </w:p>
          <w:p w:rsidR="00ED0F7A" w:rsidRPr="00E226F3" w:rsidRDefault="00ED0F7A" w:rsidP="007741A5">
            <w:pPr>
              <w:rPr>
                <w:sz w:val="20"/>
                <w:lang w:val="en-GB"/>
              </w:rPr>
            </w:pPr>
            <w:r w:rsidRPr="00E226F3">
              <w:rPr>
                <w:sz w:val="20"/>
                <w:lang w:val="en-GB"/>
              </w:rPr>
              <w:t>Data Analysis</w:t>
            </w:r>
          </w:p>
          <w:p w:rsidR="00ED0F7A" w:rsidRPr="00E226F3" w:rsidRDefault="00ED0F7A" w:rsidP="007741A5">
            <w:pPr>
              <w:rPr>
                <w:sz w:val="20"/>
                <w:lang w:val="en-GB"/>
              </w:rPr>
            </w:pPr>
            <w:r w:rsidRPr="00E226F3">
              <w:rPr>
                <w:sz w:val="20"/>
                <w:lang w:val="en-GB"/>
              </w:rPr>
              <w:t>Transcription</w:t>
            </w:r>
          </w:p>
        </w:tc>
        <w:tc>
          <w:tcPr>
            <w:tcW w:w="4252" w:type="dxa"/>
            <w:tcBorders>
              <w:top w:val="single" w:sz="4" w:space="0" w:color="auto"/>
              <w:bottom w:val="single" w:sz="4" w:space="0" w:color="auto"/>
            </w:tcBorders>
          </w:tcPr>
          <w:p w:rsidR="00ED0F7A" w:rsidRPr="00E226F3" w:rsidRDefault="00ED0F7A" w:rsidP="007741A5">
            <w:pPr>
              <w:jc w:val="center"/>
              <w:rPr>
                <w:b/>
                <w:sz w:val="20"/>
                <w:lang w:val="en-GB"/>
              </w:rPr>
            </w:pPr>
            <w:r w:rsidRPr="00E226F3">
              <w:rPr>
                <w:b/>
                <w:sz w:val="20"/>
                <w:lang w:val="en-GB"/>
              </w:rPr>
              <w:t>Method (1)</w:t>
            </w:r>
          </w:p>
          <w:p w:rsidR="00ED0F7A" w:rsidRPr="00E226F3" w:rsidRDefault="00ED0F7A" w:rsidP="007741A5">
            <w:pPr>
              <w:rPr>
                <w:b/>
                <w:sz w:val="20"/>
                <w:lang w:val="en-GB"/>
              </w:rPr>
            </w:pPr>
            <w:r w:rsidRPr="00E226F3">
              <w:rPr>
                <w:b/>
                <w:sz w:val="20"/>
                <w:lang w:val="en-GB"/>
              </w:rPr>
              <w:t>Participants (2)</w:t>
            </w:r>
          </w:p>
          <w:p w:rsidR="00ED0F7A" w:rsidRPr="00E226F3" w:rsidRDefault="00ED0F7A" w:rsidP="007741A5">
            <w:pPr>
              <w:rPr>
                <w:b/>
                <w:sz w:val="20"/>
                <w:lang w:val="en-GB"/>
              </w:rPr>
            </w:pPr>
            <w:r w:rsidRPr="00E226F3">
              <w:rPr>
                <w:b/>
                <w:sz w:val="20"/>
                <w:lang w:val="en-GB"/>
              </w:rPr>
              <w:t>Materials (2)</w:t>
            </w:r>
          </w:p>
          <w:p w:rsidR="00ED0F7A" w:rsidRPr="00E226F3" w:rsidRDefault="00ED0F7A" w:rsidP="007741A5">
            <w:pPr>
              <w:rPr>
                <w:b/>
                <w:sz w:val="20"/>
                <w:lang w:val="en-GB"/>
              </w:rPr>
            </w:pPr>
            <w:r w:rsidRPr="00E226F3">
              <w:rPr>
                <w:b/>
                <w:sz w:val="20"/>
                <w:lang w:val="en-GB"/>
              </w:rPr>
              <w:t>Design (2)</w:t>
            </w:r>
          </w:p>
          <w:p w:rsidR="00ED0F7A" w:rsidRPr="00E226F3" w:rsidRDefault="00ED0F7A" w:rsidP="007741A5">
            <w:pPr>
              <w:rPr>
                <w:b/>
                <w:sz w:val="20"/>
                <w:lang w:val="en-GB"/>
              </w:rPr>
            </w:pPr>
            <w:r w:rsidRPr="00E226F3">
              <w:rPr>
                <w:b/>
                <w:sz w:val="20"/>
                <w:lang w:val="en-GB"/>
              </w:rPr>
              <w:t>Procedure (2)</w:t>
            </w:r>
          </w:p>
          <w:p w:rsidR="00ED0F7A" w:rsidRPr="00E226F3" w:rsidRDefault="00ED0F7A" w:rsidP="007741A5">
            <w:pPr>
              <w:rPr>
                <w:b/>
                <w:sz w:val="20"/>
                <w:lang w:val="en-GB"/>
              </w:rPr>
            </w:pPr>
            <w:r w:rsidRPr="00E226F3">
              <w:rPr>
                <w:b/>
                <w:sz w:val="20"/>
                <w:lang w:val="en-GB"/>
              </w:rPr>
              <w:t>Data Analysis (2)</w:t>
            </w:r>
          </w:p>
          <w:p w:rsidR="00ED0F7A" w:rsidRPr="00E226F3" w:rsidRDefault="00ED0F7A" w:rsidP="007741A5">
            <w:pPr>
              <w:rPr>
                <w:b/>
                <w:sz w:val="20"/>
                <w:lang w:val="en-GB"/>
              </w:rPr>
            </w:pPr>
            <w:r w:rsidRPr="00E226F3">
              <w:rPr>
                <w:b/>
                <w:sz w:val="20"/>
                <w:lang w:val="en-GB"/>
              </w:rPr>
              <w:t xml:space="preserve">       Transcription. (3)</w:t>
            </w:r>
          </w:p>
        </w:tc>
      </w:tr>
      <w:tr w:rsidR="00ED0F7A" w:rsidRPr="00E226F3">
        <w:tc>
          <w:tcPr>
            <w:tcW w:w="2952" w:type="dxa"/>
            <w:tcBorders>
              <w:top w:val="single" w:sz="4" w:space="0" w:color="auto"/>
            </w:tcBorders>
          </w:tcPr>
          <w:p w:rsidR="00ED0F7A" w:rsidRPr="00E226F3" w:rsidRDefault="00ED0F7A" w:rsidP="007741A5">
            <w:pPr>
              <w:rPr>
                <w:sz w:val="20"/>
                <w:lang w:val="en-GB"/>
              </w:rPr>
            </w:pPr>
            <w:r w:rsidRPr="00E226F3">
              <w:rPr>
                <w:sz w:val="20"/>
                <w:lang w:val="en-GB"/>
              </w:rPr>
              <w:t>Results</w:t>
            </w:r>
          </w:p>
          <w:p w:rsidR="00ED0F7A" w:rsidRPr="00E226F3" w:rsidRDefault="00ED0F7A" w:rsidP="007741A5">
            <w:pPr>
              <w:rPr>
                <w:sz w:val="20"/>
                <w:lang w:val="en-GB"/>
              </w:rPr>
            </w:pPr>
            <w:r w:rsidRPr="00E226F3">
              <w:rPr>
                <w:sz w:val="20"/>
                <w:lang w:val="en-GB"/>
              </w:rPr>
              <w:t>(Optional subsections)</w:t>
            </w:r>
          </w:p>
        </w:tc>
        <w:tc>
          <w:tcPr>
            <w:tcW w:w="1976" w:type="dxa"/>
            <w:tcBorders>
              <w:top w:val="single" w:sz="4" w:space="0" w:color="auto"/>
            </w:tcBorders>
          </w:tcPr>
          <w:p w:rsidR="00ED0F7A" w:rsidRPr="00E226F3" w:rsidRDefault="00ED0F7A" w:rsidP="007741A5">
            <w:pPr>
              <w:rPr>
                <w:sz w:val="20"/>
                <w:lang w:val="en-GB"/>
              </w:rPr>
            </w:pPr>
            <w:r w:rsidRPr="00E226F3">
              <w:rPr>
                <w:sz w:val="20"/>
                <w:lang w:val="en-GB"/>
              </w:rPr>
              <w:t>Results</w:t>
            </w:r>
          </w:p>
          <w:p w:rsidR="00ED0F7A" w:rsidRPr="00E226F3" w:rsidRDefault="00ED0F7A" w:rsidP="007741A5">
            <w:pPr>
              <w:rPr>
                <w:sz w:val="20"/>
                <w:lang w:val="en-GB"/>
              </w:rPr>
            </w:pPr>
            <w:r w:rsidRPr="00E226F3">
              <w:rPr>
                <w:sz w:val="20"/>
                <w:lang w:val="en-GB"/>
              </w:rPr>
              <w:t>Subsection</w:t>
            </w:r>
          </w:p>
        </w:tc>
        <w:tc>
          <w:tcPr>
            <w:tcW w:w="4252" w:type="dxa"/>
            <w:tcBorders>
              <w:top w:val="single" w:sz="4" w:space="0" w:color="auto"/>
            </w:tcBorders>
          </w:tcPr>
          <w:p w:rsidR="00ED0F7A" w:rsidRPr="00E226F3" w:rsidRDefault="00ED0F7A" w:rsidP="007741A5">
            <w:pPr>
              <w:jc w:val="center"/>
              <w:rPr>
                <w:b/>
                <w:sz w:val="20"/>
                <w:lang w:val="en-GB"/>
              </w:rPr>
            </w:pPr>
            <w:r w:rsidRPr="00E226F3">
              <w:rPr>
                <w:b/>
                <w:sz w:val="20"/>
                <w:lang w:val="en-GB"/>
              </w:rPr>
              <w:t>Results (1)</w:t>
            </w:r>
          </w:p>
          <w:p w:rsidR="00ED0F7A" w:rsidRPr="00E226F3" w:rsidRDefault="00ED0F7A" w:rsidP="007741A5">
            <w:pPr>
              <w:rPr>
                <w:b/>
                <w:sz w:val="20"/>
                <w:lang w:val="en-GB"/>
              </w:rPr>
            </w:pPr>
            <w:r w:rsidRPr="00E226F3">
              <w:rPr>
                <w:b/>
                <w:sz w:val="20"/>
                <w:lang w:val="en-GB"/>
              </w:rPr>
              <w:t>Subsection (2)</w:t>
            </w:r>
          </w:p>
          <w:p w:rsidR="00ED0F7A" w:rsidRPr="00E226F3" w:rsidRDefault="00ED0F7A" w:rsidP="007741A5">
            <w:pPr>
              <w:rPr>
                <w:b/>
                <w:sz w:val="20"/>
                <w:lang w:val="en-GB"/>
              </w:rPr>
            </w:pPr>
            <w:r w:rsidRPr="00E226F3">
              <w:rPr>
                <w:b/>
                <w:sz w:val="20"/>
                <w:lang w:val="en-GB"/>
              </w:rPr>
              <w:t xml:space="preserve">        Subsection (3).</w:t>
            </w:r>
          </w:p>
          <w:p w:rsidR="00ED0F7A" w:rsidRPr="00E226F3" w:rsidRDefault="00ED0F7A" w:rsidP="007741A5">
            <w:pPr>
              <w:rPr>
                <w:b/>
                <w:i/>
                <w:sz w:val="20"/>
                <w:lang w:val="en-GB"/>
              </w:rPr>
            </w:pPr>
            <w:r w:rsidRPr="00E226F3">
              <w:rPr>
                <w:b/>
                <w:sz w:val="20"/>
                <w:lang w:val="en-GB"/>
              </w:rPr>
              <w:t xml:space="preserve">        </w:t>
            </w:r>
            <w:r w:rsidRPr="00E226F3">
              <w:rPr>
                <w:b/>
                <w:i/>
                <w:sz w:val="20"/>
                <w:lang w:val="en-GB"/>
              </w:rPr>
              <w:t>Subsection (4).</w:t>
            </w:r>
          </w:p>
        </w:tc>
      </w:tr>
      <w:tr w:rsidR="00ED0F7A" w:rsidRPr="00E226F3">
        <w:tc>
          <w:tcPr>
            <w:tcW w:w="2952" w:type="dxa"/>
          </w:tcPr>
          <w:p w:rsidR="00ED0F7A" w:rsidRPr="00E226F3" w:rsidRDefault="00ED0F7A" w:rsidP="007741A5">
            <w:pPr>
              <w:rPr>
                <w:sz w:val="20"/>
                <w:lang w:val="en-GB"/>
              </w:rPr>
            </w:pPr>
            <w:r w:rsidRPr="00E226F3">
              <w:rPr>
                <w:sz w:val="20"/>
                <w:lang w:val="en-GB"/>
              </w:rPr>
              <w:t>Discussion</w:t>
            </w:r>
          </w:p>
        </w:tc>
        <w:tc>
          <w:tcPr>
            <w:tcW w:w="1976" w:type="dxa"/>
          </w:tcPr>
          <w:p w:rsidR="00ED0F7A" w:rsidRPr="00E226F3" w:rsidRDefault="00ED0F7A" w:rsidP="007741A5">
            <w:pPr>
              <w:rPr>
                <w:sz w:val="20"/>
                <w:lang w:val="en-GB"/>
              </w:rPr>
            </w:pPr>
            <w:r w:rsidRPr="00E226F3">
              <w:rPr>
                <w:sz w:val="20"/>
                <w:lang w:val="en-GB"/>
              </w:rPr>
              <w:t>Discussion</w:t>
            </w:r>
          </w:p>
        </w:tc>
        <w:tc>
          <w:tcPr>
            <w:tcW w:w="4252" w:type="dxa"/>
          </w:tcPr>
          <w:p w:rsidR="00ED0F7A" w:rsidRPr="00E226F3" w:rsidRDefault="00ED0F7A" w:rsidP="007741A5">
            <w:pPr>
              <w:jc w:val="center"/>
              <w:rPr>
                <w:b/>
                <w:sz w:val="20"/>
                <w:lang w:val="en-GB"/>
              </w:rPr>
            </w:pPr>
            <w:r w:rsidRPr="00E226F3">
              <w:rPr>
                <w:b/>
                <w:sz w:val="20"/>
                <w:lang w:val="en-GB"/>
              </w:rPr>
              <w:t>Discussion (1)</w:t>
            </w:r>
          </w:p>
        </w:tc>
      </w:tr>
      <w:tr w:rsidR="00ED0F7A" w:rsidRPr="00E226F3">
        <w:tc>
          <w:tcPr>
            <w:tcW w:w="2952" w:type="dxa"/>
            <w:tcBorders>
              <w:bottom w:val="single" w:sz="4" w:space="0" w:color="auto"/>
            </w:tcBorders>
          </w:tcPr>
          <w:p w:rsidR="00ED0F7A" w:rsidRPr="00E226F3" w:rsidRDefault="00ED0F7A" w:rsidP="007741A5">
            <w:pPr>
              <w:rPr>
                <w:sz w:val="20"/>
                <w:lang w:val="en-GB"/>
              </w:rPr>
            </w:pPr>
            <w:r w:rsidRPr="00E226F3">
              <w:rPr>
                <w:sz w:val="20"/>
                <w:lang w:val="en-GB"/>
              </w:rPr>
              <w:t>References</w:t>
            </w:r>
          </w:p>
        </w:tc>
        <w:tc>
          <w:tcPr>
            <w:tcW w:w="1976" w:type="dxa"/>
            <w:tcBorders>
              <w:bottom w:val="single" w:sz="4" w:space="0" w:color="auto"/>
            </w:tcBorders>
          </w:tcPr>
          <w:p w:rsidR="00ED0F7A" w:rsidRPr="00E226F3" w:rsidRDefault="00ED0F7A" w:rsidP="007741A5">
            <w:pPr>
              <w:rPr>
                <w:sz w:val="20"/>
                <w:lang w:val="en-GB"/>
              </w:rPr>
            </w:pPr>
            <w:r w:rsidRPr="00E226F3">
              <w:rPr>
                <w:sz w:val="20"/>
                <w:lang w:val="en-GB"/>
              </w:rPr>
              <w:t>References</w:t>
            </w:r>
          </w:p>
        </w:tc>
        <w:tc>
          <w:tcPr>
            <w:tcW w:w="4252" w:type="dxa"/>
            <w:tcBorders>
              <w:bottom w:val="single" w:sz="4" w:space="0" w:color="auto"/>
            </w:tcBorders>
          </w:tcPr>
          <w:p w:rsidR="00ED0F7A" w:rsidRPr="00E226F3" w:rsidRDefault="00ED0F7A" w:rsidP="007741A5">
            <w:pPr>
              <w:jc w:val="center"/>
              <w:rPr>
                <w:b/>
                <w:sz w:val="20"/>
                <w:lang w:val="en-GB"/>
              </w:rPr>
            </w:pPr>
            <w:r w:rsidRPr="00E226F3">
              <w:rPr>
                <w:b/>
                <w:sz w:val="20"/>
                <w:lang w:val="en-GB"/>
              </w:rPr>
              <w:t>References (1)</w:t>
            </w:r>
          </w:p>
        </w:tc>
      </w:tr>
    </w:tbl>
    <w:p w:rsidR="00ED0F7A" w:rsidRPr="006A7862" w:rsidRDefault="00ED0F7A" w:rsidP="00ED0F7A">
      <w:pPr>
        <w:spacing w:after="120"/>
        <w:rPr>
          <w:b/>
          <w:lang w:val="en-GB"/>
        </w:rPr>
      </w:pPr>
      <w:r w:rsidRPr="00583C23">
        <w:rPr>
          <w:sz w:val="20"/>
          <w:lang w:val="en-GB"/>
        </w:rPr>
        <w:t xml:space="preserve">NB: </w:t>
      </w:r>
      <w:proofErr w:type="spellStart"/>
      <w:r w:rsidRPr="00583C23">
        <w:rPr>
          <w:sz w:val="20"/>
          <w:lang w:val="en-GB"/>
        </w:rPr>
        <w:t>Some times</w:t>
      </w:r>
      <w:proofErr w:type="spellEnd"/>
      <w:r w:rsidRPr="00583C23">
        <w:rPr>
          <w:sz w:val="20"/>
          <w:lang w:val="en-GB"/>
        </w:rPr>
        <w:t xml:space="preserve"> Results and Discussion are combined. If so</w:t>
      </w:r>
      <w:r>
        <w:rPr>
          <w:sz w:val="20"/>
          <w:lang w:val="en-GB"/>
        </w:rPr>
        <w:t>,</w:t>
      </w:r>
      <w:r w:rsidRPr="00583C23">
        <w:rPr>
          <w:sz w:val="20"/>
          <w:lang w:val="en-GB"/>
        </w:rPr>
        <w:t xml:space="preserve"> a Summary and Conclusions section is often added</w:t>
      </w:r>
      <w:r>
        <w:rPr>
          <w:b/>
          <w:lang w:val="en-GB"/>
        </w:rPr>
        <w:br w:type="page"/>
      </w:r>
      <w:r>
        <w:rPr>
          <w:b/>
          <w:lang w:val="en-GB"/>
        </w:rPr>
        <w:lastRenderedPageBreak/>
        <w:t>Quotations, Citation and Referencing</w:t>
      </w:r>
    </w:p>
    <w:p w:rsidR="00ED0F7A" w:rsidRDefault="00ED0F7A" w:rsidP="00ED0F7A">
      <w:pPr>
        <w:spacing w:after="120"/>
        <w:rPr>
          <w:lang w:val="en-GB"/>
        </w:rPr>
      </w:pPr>
      <w:r w:rsidRPr="006A7862">
        <w:rPr>
          <w:lang w:val="en-GB"/>
        </w:rPr>
        <w:t>APA’s referencing system is based on the Harvard system, although with some departures. The main common feature is the citation of authors and dates in the text that link to an entry in an alphabetical list of sources at the end of the work. Other referencing systems require that you put such information in a footnote, and simply ask for a bibliography at the end of the report, or book chapter. Footnotes are permissible in APA, but only “if they strengthen the discussion” (APA, 2001, p. 202). Bibliographies, however, are redundant under anything based on the Harvard system. Of course you should all be highly familiar with the Harvard/APA approach from psychology undergraduate days. However there are still a few things to watch out for.</w:t>
      </w:r>
    </w:p>
    <w:p w:rsidR="00ED0F7A" w:rsidRPr="006A7862" w:rsidRDefault="00ED0F7A" w:rsidP="00ED0F7A">
      <w:pPr>
        <w:spacing w:after="120"/>
        <w:rPr>
          <w:lang w:val="en-GB"/>
        </w:rPr>
      </w:pPr>
    </w:p>
    <w:p w:rsidR="00ED0F7A" w:rsidRDefault="00ED0F7A" w:rsidP="00ED0F7A">
      <w:pPr>
        <w:spacing w:after="120"/>
        <w:rPr>
          <w:b/>
          <w:lang w:val="en-GB"/>
        </w:rPr>
      </w:pPr>
      <w:r>
        <w:rPr>
          <w:b/>
          <w:lang w:val="en-GB"/>
        </w:rPr>
        <w:t>Quotations (p. 170-4)</w:t>
      </w:r>
    </w:p>
    <w:p w:rsidR="00ED0F7A" w:rsidRDefault="00ED0F7A" w:rsidP="00ED0F7A">
      <w:pPr>
        <w:spacing w:after="120"/>
        <w:rPr>
          <w:lang w:val="en-GB"/>
        </w:rPr>
      </w:pPr>
      <w:r>
        <w:rPr>
          <w:lang w:val="en-GB"/>
        </w:rPr>
        <w:t>Direct quotes can be from other published work or from interview transcripts. Quotes from published work must be referenced including page numbers. The APA isn’t explicit about interview transcripts, but a similar style of reference to participant and line number is also appropriate. Both types of quotations, of less than 40 words, can be embedded within the text. For example:</w:t>
      </w:r>
    </w:p>
    <w:p w:rsidR="00ED0F7A" w:rsidRDefault="00ED0F7A" w:rsidP="00ED0F7A">
      <w:pPr>
        <w:spacing w:after="120"/>
        <w:rPr>
          <w:sz w:val="20"/>
          <w:lang w:val="en-GB"/>
        </w:rPr>
      </w:pPr>
      <w:r>
        <w:rPr>
          <w:sz w:val="20"/>
          <w:lang w:val="en-GB"/>
        </w:rPr>
        <w:t xml:space="preserve">Interpreting these results, </w:t>
      </w:r>
      <w:proofErr w:type="spellStart"/>
      <w:r>
        <w:rPr>
          <w:sz w:val="20"/>
          <w:lang w:val="en-GB"/>
        </w:rPr>
        <w:t>Msetfi</w:t>
      </w:r>
      <w:proofErr w:type="spellEnd"/>
      <w:r>
        <w:rPr>
          <w:sz w:val="20"/>
          <w:lang w:val="en-GB"/>
        </w:rPr>
        <w:t xml:space="preserve"> (2009) suggested that the “therapists in dropout cases may have inadvertently validated parental negativity” (p. 792).</w:t>
      </w:r>
    </w:p>
    <w:p w:rsidR="00ED0F7A" w:rsidRPr="0005581A" w:rsidRDefault="00ED0F7A" w:rsidP="00ED0F7A">
      <w:pPr>
        <w:spacing w:after="120"/>
        <w:rPr>
          <w:lang w:val="en-GB"/>
        </w:rPr>
      </w:pPr>
      <w:r w:rsidRPr="0005581A">
        <w:rPr>
          <w:lang w:val="en-GB"/>
        </w:rPr>
        <w:t>Or</w:t>
      </w:r>
    </w:p>
    <w:p w:rsidR="00ED0F7A" w:rsidRPr="006A7862" w:rsidRDefault="00ED0F7A" w:rsidP="00ED0F7A">
      <w:pPr>
        <w:spacing w:after="120"/>
        <w:rPr>
          <w:sz w:val="20"/>
          <w:szCs w:val="20"/>
          <w:lang w:val="en-GB"/>
        </w:rPr>
      </w:pPr>
      <w:r w:rsidRPr="006A7862">
        <w:rPr>
          <w:sz w:val="20"/>
          <w:szCs w:val="20"/>
          <w:lang w:val="en-GB"/>
        </w:rPr>
        <w:t>The study used “a rather unusual and regrettably cumbersome” method (</w:t>
      </w:r>
      <w:proofErr w:type="spellStart"/>
      <w:r w:rsidRPr="006A7862">
        <w:rPr>
          <w:sz w:val="20"/>
          <w:szCs w:val="20"/>
          <w:lang w:val="en-GB"/>
        </w:rPr>
        <w:t>Roen</w:t>
      </w:r>
      <w:proofErr w:type="spellEnd"/>
      <w:r w:rsidRPr="006A7862">
        <w:rPr>
          <w:sz w:val="20"/>
          <w:szCs w:val="20"/>
          <w:lang w:val="en-GB"/>
        </w:rPr>
        <w:t xml:space="preserve"> &amp; </w:t>
      </w:r>
      <w:proofErr w:type="spellStart"/>
      <w:r w:rsidRPr="006A7862">
        <w:rPr>
          <w:sz w:val="20"/>
          <w:szCs w:val="20"/>
          <w:lang w:val="en-GB"/>
        </w:rPr>
        <w:t>Skirrow</w:t>
      </w:r>
      <w:proofErr w:type="spellEnd"/>
      <w:r w:rsidRPr="006A7862">
        <w:rPr>
          <w:sz w:val="20"/>
          <w:szCs w:val="20"/>
          <w:lang w:val="en-GB"/>
        </w:rPr>
        <w:t>, 2006, p.</w:t>
      </w:r>
      <w:r>
        <w:rPr>
          <w:sz w:val="20"/>
          <w:szCs w:val="20"/>
          <w:lang w:val="en-GB"/>
        </w:rPr>
        <w:t xml:space="preserve"> </w:t>
      </w:r>
      <w:r w:rsidRPr="006A7862">
        <w:rPr>
          <w:sz w:val="20"/>
          <w:szCs w:val="20"/>
          <w:lang w:val="en-GB"/>
        </w:rPr>
        <w:t>546).</w:t>
      </w:r>
    </w:p>
    <w:p w:rsidR="00ED0F7A" w:rsidRDefault="00ED0F7A" w:rsidP="00ED0F7A">
      <w:pPr>
        <w:spacing w:after="120"/>
        <w:rPr>
          <w:lang w:val="en-GB"/>
        </w:rPr>
      </w:pPr>
      <w:r>
        <w:rPr>
          <w:lang w:val="en-GB"/>
        </w:rPr>
        <w:t xml:space="preserve">However, if the quote is over 40 words, then this is a </w:t>
      </w:r>
      <w:r w:rsidRPr="00F658C2">
        <w:rPr>
          <w:i/>
          <w:lang w:val="en-GB"/>
        </w:rPr>
        <w:t>block quotation</w:t>
      </w:r>
      <w:r>
        <w:rPr>
          <w:lang w:val="en-GB"/>
        </w:rPr>
        <w:t xml:space="preserve"> and should be displayed as a freestanding block of text that is indented ½ inch from the rest of the text.</w:t>
      </w:r>
    </w:p>
    <w:p w:rsidR="00ED0F7A" w:rsidRDefault="00ED0F7A" w:rsidP="00ED0F7A">
      <w:pPr>
        <w:widowControl w:val="0"/>
        <w:autoSpaceDE w:val="0"/>
        <w:autoSpaceDN w:val="0"/>
        <w:adjustRightInd w:val="0"/>
        <w:rPr>
          <w:rFonts w:ascii="Minion-Regular" w:hAnsi="Minion-Regular" w:cs="Minion-Regular"/>
          <w:sz w:val="19"/>
          <w:szCs w:val="19"/>
        </w:rPr>
      </w:pPr>
      <w:r>
        <w:rPr>
          <w:rFonts w:ascii="Minion-Regular" w:hAnsi="Minion-Regular" w:cs="Minion-Regular"/>
          <w:sz w:val="19"/>
          <w:szCs w:val="19"/>
        </w:rPr>
        <w:t>Another participant said:</w:t>
      </w:r>
    </w:p>
    <w:p w:rsidR="00ED0F7A" w:rsidRPr="003E7BAC" w:rsidRDefault="00ED0F7A" w:rsidP="00ED0F7A">
      <w:pPr>
        <w:widowControl w:val="0"/>
        <w:autoSpaceDE w:val="0"/>
        <w:autoSpaceDN w:val="0"/>
        <w:adjustRightInd w:val="0"/>
        <w:ind w:left="720"/>
        <w:rPr>
          <w:rFonts w:ascii="Minion-Regular" w:hAnsi="Minion-Regular" w:cs="Minion-Regular"/>
          <w:sz w:val="19"/>
          <w:szCs w:val="19"/>
        </w:rPr>
      </w:pPr>
      <w:r>
        <w:rPr>
          <w:rFonts w:ascii="Minion-Regular" w:hAnsi="Minion-Regular" w:cs="Minion-Regular"/>
          <w:sz w:val="19"/>
          <w:szCs w:val="19"/>
        </w:rPr>
        <w:t xml:space="preserve">I think maybe if it wasn’t a strange situation. You know, like when you feel like you’re here – do you know what I mean? You’re here and you can’t come back. And right now it’s like, maybe next year, but right now I’m, I’ve just come here and it’s really strange. It’s </w:t>
      </w:r>
      <w:proofErr w:type="gramStart"/>
      <w:r>
        <w:rPr>
          <w:rFonts w:ascii="Minion-Regular" w:hAnsi="Minion-Regular" w:cs="Minion-Regular"/>
          <w:sz w:val="19"/>
          <w:szCs w:val="19"/>
        </w:rPr>
        <w:t>like,</w:t>
      </w:r>
      <w:proofErr w:type="gramEnd"/>
      <w:r>
        <w:rPr>
          <w:rFonts w:ascii="Minion-Regular" w:hAnsi="Minion-Regular" w:cs="Minion-Regular"/>
          <w:sz w:val="19"/>
          <w:szCs w:val="19"/>
        </w:rPr>
        <w:t xml:space="preserve"> I don’t want to make that change now. And they’re like, come on now. And it’s like, what do you know? (Rachel, line 22)</w:t>
      </w:r>
    </w:p>
    <w:p w:rsidR="00ED0F7A" w:rsidRDefault="00ED0F7A" w:rsidP="00ED0F7A">
      <w:pPr>
        <w:spacing w:after="120"/>
        <w:rPr>
          <w:lang w:val="en-GB"/>
        </w:rPr>
      </w:pPr>
    </w:p>
    <w:p w:rsidR="00ED0F7A" w:rsidRDefault="00ED0F7A" w:rsidP="00ED0F7A">
      <w:pPr>
        <w:spacing w:after="120"/>
        <w:rPr>
          <w:lang w:val="en-GB"/>
        </w:rPr>
      </w:pPr>
      <w:r>
        <w:rPr>
          <w:lang w:val="en-GB"/>
        </w:rPr>
        <w:t xml:space="preserve">Note that these block quotations don’t include quotation marks and should be double spaced like the rest of the text. Finally if there are paragraphs within the block quote, you should indicate this by indenting within the block quote. Note also that that the reference (Rachel, line 22) comes </w:t>
      </w:r>
      <w:r>
        <w:rPr>
          <w:b/>
          <w:lang w:val="en-GB"/>
        </w:rPr>
        <w:t>after</w:t>
      </w:r>
      <w:r>
        <w:rPr>
          <w:lang w:val="en-GB"/>
        </w:rPr>
        <w:t xml:space="preserve"> the final punctuation.</w:t>
      </w:r>
    </w:p>
    <w:p w:rsidR="00ED0F7A" w:rsidRPr="003E7BAC" w:rsidRDefault="00ED0F7A" w:rsidP="00ED0F7A">
      <w:pPr>
        <w:spacing w:after="120"/>
        <w:rPr>
          <w:lang w:val="en-GB"/>
        </w:rPr>
      </w:pPr>
    </w:p>
    <w:p w:rsidR="00ED0F7A" w:rsidRPr="006A7862" w:rsidRDefault="00ED0F7A" w:rsidP="00ED0F7A">
      <w:pPr>
        <w:spacing w:after="120"/>
        <w:rPr>
          <w:b/>
          <w:lang w:val="en-GB"/>
        </w:rPr>
      </w:pPr>
      <w:r>
        <w:rPr>
          <w:b/>
          <w:lang w:val="en-GB"/>
        </w:rPr>
        <w:t>Citations in the T</w:t>
      </w:r>
      <w:r w:rsidRPr="006A7862">
        <w:rPr>
          <w:b/>
          <w:lang w:val="en-GB"/>
        </w:rPr>
        <w:t>ext</w:t>
      </w:r>
      <w:r>
        <w:rPr>
          <w:b/>
          <w:lang w:val="en-GB"/>
        </w:rPr>
        <w:t xml:space="preserve"> (p. 174)</w:t>
      </w:r>
    </w:p>
    <w:p w:rsidR="00ED0F7A" w:rsidRPr="006A7862" w:rsidRDefault="00ED0F7A" w:rsidP="00ED0F7A">
      <w:pPr>
        <w:spacing w:after="120"/>
        <w:rPr>
          <w:lang w:val="en-GB"/>
        </w:rPr>
      </w:pPr>
      <w:r w:rsidRPr="006A7862">
        <w:rPr>
          <w:lang w:val="en-GB"/>
        </w:rPr>
        <w:t xml:space="preserve">Usually it is sufficient just to cite a single source as evidence to support a claim, or as information for the reader. </w:t>
      </w:r>
    </w:p>
    <w:p w:rsidR="00ED0F7A" w:rsidRPr="006A7862" w:rsidRDefault="00ED0F7A" w:rsidP="00ED0F7A">
      <w:pPr>
        <w:spacing w:after="120"/>
        <w:rPr>
          <w:sz w:val="20"/>
          <w:szCs w:val="20"/>
          <w:lang w:val="en-GB"/>
        </w:rPr>
      </w:pPr>
      <w:r w:rsidRPr="006A7862">
        <w:rPr>
          <w:sz w:val="20"/>
          <w:szCs w:val="20"/>
          <w:lang w:val="en-GB"/>
        </w:rPr>
        <w:t xml:space="preserve">A full review of the literature can be found in </w:t>
      </w:r>
      <w:r w:rsidR="009C6C9B">
        <w:rPr>
          <w:sz w:val="20"/>
          <w:szCs w:val="20"/>
          <w:lang w:val="en-GB"/>
        </w:rPr>
        <w:t>Sellwood</w:t>
      </w:r>
      <w:r w:rsidRPr="006A7862">
        <w:rPr>
          <w:sz w:val="20"/>
          <w:szCs w:val="20"/>
          <w:lang w:val="en-GB"/>
        </w:rPr>
        <w:t xml:space="preserve"> and </w:t>
      </w:r>
      <w:r w:rsidR="009C6C9B">
        <w:rPr>
          <w:sz w:val="20"/>
          <w:szCs w:val="20"/>
          <w:lang w:val="en-GB"/>
        </w:rPr>
        <w:t>Daiches</w:t>
      </w:r>
      <w:r w:rsidRPr="006A7862">
        <w:rPr>
          <w:sz w:val="20"/>
          <w:szCs w:val="20"/>
          <w:lang w:val="en-GB"/>
        </w:rPr>
        <w:t xml:space="preserve"> (2002).</w:t>
      </w:r>
    </w:p>
    <w:p w:rsidR="00ED0F7A" w:rsidRPr="006A7862" w:rsidRDefault="00ED0F7A" w:rsidP="00ED0F7A">
      <w:pPr>
        <w:spacing w:after="120"/>
        <w:rPr>
          <w:lang w:val="en-GB"/>
        </w:rPr>
      </w:pPr>
      <w:r w:rsidRPr="006A7862">
        <w:rPr>
          <w:lang w:val="en-GB"/>
        </w:rPr>
        <w:t xml:space="preserve">You might want to cite that source as an example (note, by the way, how the ‘and’ becomes an </w:t>
      </w:r>
      <w:r w:rsidRPr="006A7862">
        <w:rPr>
          <w:i/>
          <w:lang w:val="en-GB"/>
        </w:rPr>
        <w:t>ampersand</w:t>
      </w:r>
      <w:r w:rsidRPr="006A7862">
        <w:rPr>
          <w:lang w:val="en-GB"/>
        </w:rPr>
        <w:t xml:space="preserve"> when put inside parentheses):</w:t>
      </w:r>
    </w:p>
    <w:p w:rsidR="00ED0F7A" w:rsidRPr="006A7862" w:rsidRDefault="00ED0F7A" w:rsidP="00ED0F7A">
      <w:pPr>
        <w:spacing w:after="120"/>
        <w:rPr>
          <w:sz w:val="20"/>
          <w:szCs w:val="20"/>
          <w:lang w:val="en-GB"/>
        </w:rPr>
      </w:pPr>
      <w:r w:rsidRPr="006A7862">
        <w:rPr>
          <w:sz w:val="20"/>
          <w:szCs w:val="20"/>
          <w:lang w:val="en-GB"/>
        </w:rPr>
        <w:t xml:space="preserve">Studies that have used this technique (e.g., </w:t>
      </w:r>
      <w:r w:rsidR="009C6C9B">
        <w:rPr>
          <w:sz w:val="20"/>
          <w:szCs w:val="20"/>
          <w:lang w:val="en-GB"/>
        </w:rPr>
        <w:t>Sellwood</w:t>
      </w:r>
      <w:r w:rsidRPr="006A7862">
        <w:rPr>
          <w:sz w:val="20"/>
          <w:szCs w:val="20"/>
          <w:lang w:val="en-GB"/>
        </w:rPr>
        <w:t xml:space="preserve"> &amp; D</w:t>
      </w:r>
      <w:r w:rsidR="009C6C9B">
        <w:rPr>
          <w:sz w:val="20"/>
          <w:szCs w:val="20"/>
          <w:lang w:val="en-GB"/>
        </w:rPr>
        <w:t>aiches</w:t>
      </w:r>
      <w:r w:rsidRPr="006A7862">
        <w:rPr>
          <w:sz w:val="20"/>
          <w:szCs w:val="20"/>
          <w:lang w:val="en-GB"/>
        </w:rPr>
        <w:t>, 2002)</w:t>
      </w:r>
    </w:p>
    <w:p w:rsidR="00ED0F7A" w:rsidRPr="006A7862" w:rsidRDefault="00ED0F7A" w:rsidP="00ED0F7A">
      <w:pPr>
        <w:spacing w:after="120"/>
        <w:rPr>
          <w:lang w:val="en-GB"/>
        </w:rPr>
      </w:pPr>
      <w:r w:rsidRPr="006A7862">
        <w:rPr>
          <w:lang w:val="en-GB"/>
        </w:rPr>
        <w:lastRenderedPageBreak/>
        <w:t>However you might want to elaborate and cite some of those other studies:</w:t>
      </w:r>
    </w:p>
    <w:p w:rsidR="00ED0F7A" w:rsidRPr="006A7862" w:rsidRDefault="00ED0F7A" w:rsidP="00ED0F7A">
      <w:pPr>
        <w:spacing w:after="120"/>
        <w:rPr>
          <w:sz w:val="20"/>
          <w:szCs w:val="20"/>
          <w:lang w:val="en-GB"/>
        </w:rPr>
      </w:pPr>
      <w:r w:rsidRPr="006A7862">
        <w:rPr>
          <w:sz w:val="20"/>
          <w:szCs w:val="20"/>
          <w:lang w:val="en-GB"/>
        </w:rPr>
        <w:t>Studies that have used this technique (</w:t>
      </w:r>
      <w:r w:rsidR="009C6C9B">
        <w:rPr>
          <w:sz w:val="20"/>
          <w:szCs w:val="20"/>
          <w:lang w:val="en-GB"/>
        </w:rPr>
        <w:t>Sellwood</w:t>
      </w:r>
      <w:r w:rsidRPr="006A7862">
        <w:rPr>
          <w:sz w:val="20"/>
          <w:szCs w:val="20"/>
          <w:lang w:val="en-GB"/>
        </w:rPr>
        <w:t xml:space="preserve"> &amp; D</w:t>
      </w:r>
      <w:r w:rsidR="009C6C9B">
        <w:rPr>
          <w:sz w:val="20"/>
          <w:szCs w:val="20"/>
          <w:lang w:val="en-GB"/>
        </w:rPr>
        <w:t>aiches</w:t>
      </w:r>
      <w:r w:rsidRPr="006A7862">
        <w:rPr>
          <w:sz w:val="20"/>
          <w:szCs w:val="20"/>
          <w:lang w:val="en-GB"/>
        </w:rPr>
        <w:t>, 2002, 2004)</w:t>
      </w:r>
    </w:p>
    <w:p w:rsidR="00ED0F7A" w:rsidRPr="006A7862" w:rsidRDefault="00ED0F7A" w:rsidP="00ED0F7A">
      <w:pPr>
        <w:spacing w:after="120"/>
        <w:rPr>
          <w:lang w:val="en-GB"/>
        </w:rPr>
      </w:pPr>
      <w:r w:rsidRPr="006A7862">
        <w:rPr>
          <w:lang w:val="en-GB"/>
        </w:rPr>
        <w:t>When you cite several studies, use semi-colons to separate them, arrange them alphabetically according to the first author names, and arrange works by the same first author chronologically). So:</w:t>
      </w:r>
    </w:p>
    <w:p w:rsidR="00ED0F7A" w:rsidRPr="006A7862" w:rsidRDefault="00ED0F7A" w:rsidP="00ED0F7A">
      <w:pPr>
        <w:spacing w:after="120"/>
        <w:rPr>
          <w:sz w:val="20"/>
          <w:szCs w:val="20"/>
          <w:lang w:val="en-GB"/>
        </w:rPr>
      </w:pPr>
      <w:r>
        <w:rPr>
          <w:sz w:val="20"/>
          <w:szCs w:val="20"/>
          <w:lang w:val="en-GB"/>
        </w:rPr>
        <w:t xml:space="preserve">Rachel </w:t>
      </w:r>
      <w:proofErr w:type="spellStart"/>
      <w:r>
        <w:rPr>
          <w:sz w:val="20"/>
          <w:szCs w:val="20"/>
          <w:lang w:val="en-GB"/>
        </w:rPr>
        <w:t>Msetfi</w:t>
      </w:r>
      <w:proofErr w:type="spellEnd"/>
      <w:r w:rsidRPr="006A7862">
        <w:rPr>
          <w:sz w:val="20"/>
          <w:szCs w:val="20"/>
          <w:lang w:val="en-GB"/>
        </w:rPr>
        <w:t xml:space="preserve"> and colleagues have conducted several studies (</w:t>
      </w:r>
      <w:proofErr w:type="spellStart"/>
      <w:r w:rsidRPr="006A7862">
        <w:rPr>
          <w:sz w:val="20"/>
          <w:szCs w:val="20"/>
          <w:lang w:val="en-GB"/>
        </w:rPr>
        <w:t>Msetfi</w:t>
      </w:r>
      <w:proofErr w:type="spellEnd"/>
      <w:r w:rsidRPr="006A7862">
        <w:rPr>
          <w:sz w:val="20"/>
          <w:szCs w:val="20"/>
          <w:lang w:val="en-GB"/>
        </w:rPr>
        <w:t xml:space="preserve">, </w:t>
      </w:r>
      <w:r w:rsidR="009C6C9B">
        <w:rPr>
          <w:sz w:val="20"/>
          <w:szCs w:val="20"/>
          <w:lang w:val="en-GB"/>
        </w:rPr>
        <w:t>Sellwood</w:t>
      </w:r>
      <w:r w:rsidRPr="006A7862">
        <w:rPr>
          <w:sz w:val="20"/>
          <w:szCs w:val="20"/>
          <w:lang w:val="en-GB"/>
        </w:rPr>
        <w:t xml:space="preserve">, </w:t>
      </w:r>
      <w:r w:rsidR="009C6C9B">
        <w:rPr>
          <w:sz w:val="20"/>
          <w:szCs w:val="20"/>
          <w:lang w:val="en-GB"/>
        </w:rPr>
        <w:t>Daiches</w:t>
      </w:r>
      <w:r w:rsidRPr="006A7862">
        <w:rPr>
          <w:sz w:val="20"/>
          <w:szCs w:val="20"/>
          <w:lang w:val="en-GB"/>
        </w:rPr>
        <w:t xml:space="preserve"> &amp; </w:t>
      </w:r>
      <w:proofErr w:type="spellStart"/>
      <w:r w:rsidRPr="006A7862">
        <w:rPr>
          <w:sz w:val="20"/>
          <w:szCs w:val="20"/>
          <w:lang w:val="en-GB"/>
        </w:rPr>
        <w:t>Kornbrot</w:t>
      </w:r>
      <w:proofErr w:type="spellEnd"/>
      <w:r w:rsidRPr="006A7862">
        <w:rPr>
          <w:sz w:val="20"/>
          <w:szCs w:val="20"/>
          <w:lang w:val="en-GB"/>
        </w:rPr>
        <w:t xml:space="preserve">, 2005; </w:t>
      </w:r>
      <w:proofErr w:type="spellStart"/>
      <w:r>
        <w:rPr>
          <w:sz w:val="20"/>
          <w:szCs w:val="20"/>
          <w:lang w:val="en-GB"/>
        </w:rPr>
        <w:t>Msetfi</w:t>
      </w:r>
      <w:proofErr w:type="spellEnd"/>
      <w:r>
        <w:rPr>
          <w:sz w:val="20"/>
          <w:szCs w:val="20"/>
          <w:lang w:val="en-GB"/>
        </w:rPr>
        <w:t xml:space="preserve">, </w:t>
      </w:r>
      <w:r w:rsidR="009C6C9B">
        <w:rPr>
          <w:sz w:val="20"/>
          <w:szCs w:val="20"/>
          <w:lang w:val="en-GB"/>
        </w:rPr>
        <w:t>Sellwood</w:t>
      </w:r>
      <w:r w:rsidR="009C6C9B">
        <w:rPr>
          <w:sz w:val="20"/>
          <w:szCs w:val="20"/>
          <w:lang w:val="en-GB"/>
        </w:rPr>
        <w:t xml:space="preserve"> </w:t>
      </w:r>
      <w:r>
        <w:rPr>
          <w:sz w:val="20"/>
          <w:szCs w:val="20"/>
          <w:lang w:val="en-GB"/>
        </w:rPr>
        <w:t xml:space="preserve">&amp; </w:t>
      </w:r>
      <w:r w:rsidR="009C6C9B">
        <w:rPr>
          <w:sz w:val="20"/>
          <w:szCs w:val="20"/>
          <w:lang w:val="en-GB"/>
        </w:rPr>
        <w:t>Daiches</w:t>
      </w:r>
      <w:r>
        <w:rPr>
          <w:sz w:val="20"/>
          <w:szCs w:val="20"/>
          <w:lang w:val="en-GB"/>
        </w:rPr>
        <w:t>, 2007</w:t>
      </w:r>
      <w:r w:rsidRPr="006A7862">
        <w:rPr>
          <w:sz w:val="20"/>
          <w:szCs w:val="20"/>
          <w:lang w:val="en-GB"/>
        </w:rPr>
        <w:t>).</w:t>
      </w:r>
    </w:p>
    <w:p w:rsidR="00ED0F7A" w:rsidRPr="006A7862" w:rsidRDefault="00ED0F7A" w:rsidP="00ED0F7A">
      <w:pPr>
        <w:spacing w:after="120"/>
        <w:rPr>
          <w:lang w:val="en-GB"/>
        </w:rPr>
      </w:pPr>
      <w:proofErr w:type="gramStart"/>
      <w:r w:rsidRPr="006A7862">
        <w:rPr>
          <w:lang w:val="en-GB"/>
        </w:rPr>
        <w:t>N.B.</w:t>
      </w:r>
      <w:proofErr w:type="gramEnd"/>
      <w:r w:rsidRPr="006A7862">
        <w:rPr>
          <w:lang w:val="en-GB"/>
        </w:rPr>
        <w:t xml:space="preserve"> The BPS Style Guide (BPS, 2004) recommends that you never cite more than three studies at a time in parentheses. It’s always a good idea to avoid gratuitous ‘stacking’ of unnecessary sources. A statement like:</w:t>
      </w:r>
    </w:p>
    <w:p w:rsidR="00ED0F7A" w:rsidRPr="006A7862" w:rsidRDefault="00ED0F7A" w:rsidP="00ED0F7A">
      <w:pPr>
        <w:spacing w:after="120"/>
        <w:rPr>
          <w:sz w:val="20"/>
          <w:szCs w:val="20"/>
          <w:lang w:val="en-GB"/>
        </w:rPr>
      </w:pPr>
      <w:r w:rsidRPr="006A7862">
        <w:rPr>
          <w:sz w:val="20"/>
          <w:szCs w:val="20"/>
          <w:lang w:val="en-GB"/>
        </w:rPr>
        <w:t>A full review of the literature can be found in Murphy (2003)</w:t>
      </w:r>
    </w:p>
    <w:p w:rsidR="00ED0F7A" w:rsidRPr="006A7862" w:rsidRDefault="00ED0F7A" w:rsidP="00ED0F7A">
      <w:pPr>
        <w:spacing w:after="120"/>
        <w:rPr>
          <w:lang w:val="en-GB"/>
        </w:rPr>
      </w:pPr>
      <w:proofErr w:type="gramStart"/>
      <w:r w:rsidRPr="006A7862">
        <w:rPr>
          <w:lang w:val="en-GB"/>
        </w:rPr>
        <w:t>will</w:t>
      </w:r>
      <w:proofErr w:type="gramEnd"/>
      <w:r w:rsidRPr="006A7862">
        <w:rPr>
          <w:lang w:val="en-GB"/>
        </w:rPr>
        <w:t xml:space="preserve"> usually suffice if you have lots of examples that simply repeat the same type of evidence or information.</w:t>
      </w:r>
    </w:p>
    <w:p w:rsidR="00ED0F7A" w:rsidRPr="006A7862" w:rsidRDefault="00ED0F7A" w:rsidP="00ED0F7A">
      <w:pPr>
        <w:spacing w:after="120"/>
        <w:rPr>
          <w:lang w:val="en-GB"/>
        </w:rPr>
      </w:pPr>
      <w:r w:rsidRPr="006A7862">
        <w:rPr>
          <w:lang w:val="en-GB"/>
        </w:rPr>
        <w:t>Sometimes awkward academics publish more than one work a year under the same name(s). If you need to cite both works, then you need to refer to them by letters, e.g.</w:t>
      </w:r>
    </w:p>
    <w:p w:rsidR="00ED0F7A" w:rsidRPr="006A7862" w:rsidRDefault="00ED0F7A" w:rsidP="00ED0F7A">
      <w:pPr>
        <w:spacing w:after="120"/>
        <w:rPr>
          <w:sz w:val="20"/>
          <w:szCs w:val="20"/>
          <w:lang w:val="en-GB"/>
        </w:rPr>
      </w:pPr>
      <w:r w:rsidRPr="006A7862">
        <w:rPr>
          <w:sz w:val="20"/>
          <w:szCs w:val="20"/>
          <w:lang w:val="en-GB"/>
        </w:rPr>
        <w:t xml:space="preserve">One year, </w:t>
      </w:r>
      <w:r w:rsidR="009C6C9B">
        <w:rPr>
          <w:sz w:val="20"/>
          <w:szCs w:val="20"/>
          <w:lang w:val="en-GB"/>
        </w:rPr>
        <w:t>Mary</w:t>
      </w:r>
      <w:r>
        <w:rPr>
          <w:sz w:val="20"/>
          <w:szCs w:val="20"/>
          <w:lang w:val="en-GB"/>
        </w:rPr>
        <w:t xml:space="preserve"> </w:t>
      </w:r>
      <w:r w:rsidR="009C6C9B">
        <w:rPr>
          <w:sz w:val="20"/>
          <w:szCs w:val="20"/>
          <w:lang w:val="en-GB"/>
        </w:rPr>
        <w:t>Cooper</w:t>
      </w:r>
      <w:r w:rsidRPr="006A7862">
        <w:rPr>
          <w:sz w:val="20"/>
          <w:szCs w:val="20"/>
          <w:lang w:val="en-GB"/>
        </w:rPr>
        <w:t xml:space="preserve"> </w:t>
      </w:r>
      <w:r>
        <w:rPr>
          <w:sz w:val="20"/>
          <w:szCs w:val="20"/>
          <w:lang w:val="en-GB"/>
        </w:rPr>
        <w:t>clearly had too much time on her hands (</w:t>
      </w:r>
      <w:r w:rsidR="009C6C9B">
        <w:rPr>
          <w:sz w:val="20"/>
          <w:szCs w:val="20"/>
          <w:lang w:val="en-GB"/>
        </w:rPr>
        <w:t>Jones</w:t>
      </w:r>
      <w:r w:rsidRPr="006A7862">
        <w:rPr>
          <w:sz w:val="20"/>
          <w:szCs w:val="20"/>
          <w:lang w:val="en-GB"/>
        </w:rPr>
        <w:t>, 2002a, 2002b).</w:t>
      </w:r>
    </w:p>
    <w:p w:rsidR="00ED0F7A" w:rsidRPr="006A7862" w:rsidRDefault="00ED0F7A" w:rsidP="00ED0F7A">
      <w:pPr>
        <w:spacing w:after="120"/>
        <w:rPr>
          <w:lang w:val="en-GB"/>
        </w:rPr>
      </w:pPr>
      <w:r w:rsidRPr="006A7862">
        <w:rPr>
          <w:lang w:val="en-GB"/>
        </w:rPr>
        <w:t>Don’t forget to remember which letters refer to which sources when you draw up your reference list!</w:t>
      </w:r>
    </w:p>
    <w:p w:rsidR="00ED0F7A" w:rsidRDefault="00ED0F7A" w:rsidP="00ED0F7A">
      <w:pPr>
        <w:spacing w:after="120"/>
        <w:rPr>
          <w:lang w:val="en-GB"/>
        </w:rPr>
      </w:pPr>
      <w:r w:rsidRPr="006A7862">
        <w:rPr>
          <w:lang w:val="en-GB"/>
        </w:rPr>
        <w:t>Where three or more authors are named on a publication, the standard practice is to include them</w:t>
      </w:r>
      <w:r>
        <w:rPr>
          <w:lang w:val="en-GB"/>
        </w:rPr>
        <w:t xml:space="preserve"> all in the first citation.</w:t>
      </w:r>
    </w:p>
    <w:p w:rsidR="00ED0F7A" w:rsidRDefault="00ED0F7A" w:rsidP="00ED0F7A">
      <w:pPr>
        <w:rPr>
          <w:sz w:val="20"/>
          <w:lang w:val="en-GB"/>
        </w:rPr>
      </w:pPr>
      <w:r w:rsidRPr="00FB5D94">
        <w:rPr>
          <w:sz w:val="20"/>
          <w:lang w:val="en-GB"/>
        </w:rPr>
        <w:t>First mention:</w:t>
      </w:r>
      <w:r>
        <w:rPr>
          <w:lang w:val="en-GB"/>
        </w:rPr>
        <w:t xml:space="preserve"> </w:t>
      </w:r>
      <w:r w:rsidRPr="00FB5D94">
        <w:rPr>
          <w:sz w:val="20"/>
          <w:lang w:val="en-GB"/>
        </w:rPr>
        <w:t xml:space="preserve">Daiches, </w:t>
      </w:r>
      <w:proofErr w:type="spellStart"/>
      <w:r w:rsidRPr="00FB5D94">
        <w:rPr>
          <w:sz w:val="20"/>
          <w:lang w:val="en-GB"/>
        </w:rPr>
        <w:t>Verduyn</w:t>
      </w:r>
      <w:proofErr w:type="spellEnd"/>
      <w:r w:rsidRPr="00FB5D94">
        <w:rPr>
          <w:sz w:val="20"/>
          <w:lang w:val="en-GB"/>
        </w:rPr>
        <w:t xml:space="preserve"> and Mercer (2005) found that</w:t>
      </w:r>
      <w:r>
        <w:rPr>
          <w:sz w:val="20"/>
          <w:lang w:val="en-GB"/>
        </w:rPr>
        <w:t>…</w:t>
      </w:r>
    </w:p>
    <w:p w:rsidR="00ED0F7A" w:rsidRDefault="00ED0F7A" w:rsidP="00ED0F7A">
      <w:pPr>
        <w:rPr>
          <w:sz w:val="20"/>
          <w:lang w:val="en-GB"/>
        </w:rPr>
      </w:pPr>
      <w:r>
        <w:rPr>
          <w:sz w:val="20"/>
          <w:lang w:val="en-GB"/>
        </w:rPr>
        <w:t>Second mention: Daiches et al. (2005) argued that</w:t>
      </w:r>
    </w:p>
    <w:p w:rsidR="00ED0F7A" w:rsidRDefault="00ED0F7A" w:rsidP="00ED0F7A">
      <w:pPr>
        <w:rPr>
          <w:lang w:val="en-GB"/>
        </w:rPr>
      </w:pPr>
      <w:r>
        <w:rPr>
          <w:sz w:val="20"/>
          <w:lang w:val="en-GB"/>
        </w:rPr>
        <w:t xml:space="preserve">Subsequent mention in the </w:t>
      </w:r>
      <w:r w:rsidRPr="00911CFF">
        <w:rPr>
          <w:b/>
          <w:sz w:val="20"/>
          <w:lang w:val="en-GB"/>
        </w:rPr>
        <w:t>same</w:t>
      </w:r>
      <w:r>
        <w:rPr>
          <w:sz w:val="20"/>
          <w:lang w:val="en-GB"/>
        </w:rPr>
        <w:t xml:space="preserve"> paragraph: Daiches et al. also noted… (NB no date required).</w:t>
      </w:r>
    </w:p>
    <w:p w:rsidR="00ED0F7A" w:rsidRDefault="00ED0F7A" w:rsidP="00ED0F7A">
      <w:pPr>
        <w:spacing w:after="120"/>
        <w:rPr>
          <w:lang w:val="en-GB"/>
        </w:rPr>
      </w:pPr>
    </w:p>
    <w:p w:rsidR="00ED0F7A" w:rsidRDefault="00ED0F7A" w:rsidP="00ED0F7A">
      <w:pPr>
        <w:spacing w:after="120"/>
        <w:rPr>
          <w:lang w:val="en-GB"/>
        </w:rPr>
      </w:pPr>
      <w:r w:rsidRPr="006A7862">
        <w:rPr>
          <w:lang w:val="en-GB"/>
        </w:rPr>
        <w:t>If there are six or more authors, use the et al. construction throughout</w:t>
      </w:r>
      <w:r>
        <w:rPr>
          <w:lang w:val="en-GB"/>
        </w:rPr>
        <w:t xml:space="preserve"> unless there are two six plus author papers, with a similar authorship</w:t>
      </w:r>
      <w:r w:rsidRPr="006A7862">
        <w:rPr>
          <w:lang w:val="en-GB"/>
        </w:rPr>
        <w:t>.</w:t>
      </w:r>
      <w:r>
        <w:rPr>
          <w:lang w:val="en-GB"/>
        </w:rPr>
        <w:t xml:space="preserve"> In this case you would use as many authors as necessary to distinguish between the two papers. So:</w:t>
      </w:r>
    </w:p>
    <w:p w:rsidR="00ED0F7A" w:rsidRDefault="00ED0F7A" w:rsidP="00ED0F7A">
      <w:pPr>
        <w:rPr>
          <w:sz w:val="20"/>
          <w:lang w:val="en-GB"/>
        </w:rPr>
      </w:pPr>
      <w:r>
        <w:rPr>
          <w:sz w:val="20"/>
          <w:lang w:val="en-GB"/>
        </w:rPr>
        <w:t>Golding, Brown, Atkins, Slinger, Amor, Morgan and Munks (2010) suggested that….</w:t>
      </w:r>
    </w:p>
    <w:p w:rsidR="00ED0F7A" w:rsidRDefault="00ED0F7A" w:rsidP="00ED0F7A">
      <w:pPr>
        <w:rPr>
          <w:sz w:val="20"/>
          <w:lang w:val="en-GB"/>
        </w:rPr>
      </w:pPr>
      <w:r>
        <w:rPr>
          <w:sz w:val="20"/>
          <w:lang w:val="en-GB"/>
        </w:rPr>
        <w:t>Golding, Brown, Slinger, Atkins, Amor, Morgan and Munks (2010) argued that….</w:t>
      </w:r>
    </w:p>
    <w:p w:rsidR="00ED0F7A" w:rsidRDefault="00ED0F7A" w:rsidP="00ED0F7A">
      <w:pPr>
        <w:spacing w:after="120"/>
        <w:rPr>
          <w:lang w:val="en-GB"/>
        </w:rPr>
      </w:pPr>
    </w:p>
    <w:p w:rsidR="00ED0F7A" w:rsidRDefault="00ED0F7A" w:rsidP="00ED0F7A">
      <w:pPr>
        <w:spacing w:after="120"/>
        <w:rPr>
          <w:lang w:val="en-GB"/>
        </w:rPr>
      </w:pPr>
      <w:r>
        <w:rPr>
          <w:lang w:val="en-GB"/>
        </w:rPr>
        <w:t>Because of the similarity between these two six plus author papers, they should be referred to in the text as:</w:t>
      </w:r>
    </w:p>
    <w:p w:rsidR="00ED0F7A" w:rsidRDefault="00ED0F7A" w:rsidP="00ED0F7A">
      <w:pPr>
        <w:rPr>
          <w:sz w:val="20"/>
          <w:lang w:val="en-GB"/>
        </w:rPr>
      </w:pPr>
      <w:r>
        <w:rPr>
          <w:sz w:val="20"/>
          <w:lang w:val="en-GB"/>
        </w:rPr>
        <w:t xml:space="preserve">Golding, Brown, </w:t>
      </w:r>
      <w:proofErr w:type="gramStart"/>
      <w:r>
        <w:rPr>
          <w:sz w:val="20"/>
          <w:lang w:val="en-GB"/>
        </w:rPr>
        <w:t>Atkins</w:t>
      </w:r>
      <w:proofErr w:type="gramEnd"/>
      <w:r>
        <w:rPr>
          <w:sz w:val="20"/>
          <w:lang w:val="en-GB"/>
        </w:rPr>
        <w:t xml:space="preserve"> at al. (2010) suggested that….</w:t>
      </w:r>
    </w:p>
    <w:p w:rsidR="00ED0F7A" w:rsidRDefault="00ED0F7A" w:rsidP="00ED0F7A">
      <w:pPr>
        <w:rPr>
          <w:sz w:val="20"/>
          <w:lang w:val="en-GB"/>
        </w:rPr>
      </w:pPr>
      <w:r>
        <w:rPr>
          <w:sz w:val="20"/>
          <w:lang w:val="en-GB"/>
        </w:rPr>
        <w:t>Golding, Brown, Slinger et al. (2010) argued that….</w:t>
      </w:r>
    </w:p>
    <w:p w:rsidR="00ED0F7A" w:rsidRPr="00911CFF" w:rsidRDefault="00ED0F7A" w:rsidP="00ED0F7A">
      <w:pPr>
        <w:spacing w:after="120"/>
        <w:rPr>
          <w:lang w:val="en-GB"/>
        </w:rPr>
      </w:pPr>
    </w:p>
    <w:p w:rsidR="00ED0F7A" w:rsidRPr="006A7862" w:rsidRDefault="00ED0F7A" w:rsidP="00ED0F7A">
      <w:pPr>
        <w:spacing w:after="120"/>
        <w:rPr>
          <w:lang w:val="en-GB"/>
        </w:rPr>
      </w:pPr>
      <w:r>
        <w:rPr>
          <w:lang w:val="en-GB"/>
        </w:rPr>
        <w:t>There is a handy table on p. 177 of the APA guide that helpfully summarises these in-text citations.</w:t>
      </w:r>
    </w:p>
    <w:p w:rsidR="00ED0F7A" w:rsidRDefault="00ED0F7A" w:rsidP="00ED0F7A">
      <w:pPr>
        <w:spacing w:after="120"/>
        <w:rPr>
          <w:lang w:val="en-GB"/>
        </w:rPr>
      </w:pPr>
    </w:p>
    <w:p w:rsidR="00ED0F7A" w:rsidRDefault="00ED0F7A" w:rsidP="00ED0F7A">
      <w:pPr>
        <w:spacing w:after="120"/>
        <w:rPr>
          <w:lang w:val="en-GB"/>
        </w:rPr>
      </w:pPr>
    </w:p>
    <w:p w:rsidR="00ED0F7A" w:rsidRPr="006A7862" w:rsidRDefault="00ED0F7A" w:rsidP="00ED0F7A">
      <w:pPr>
        <w:spacing w:after="120"/>
        <w:rPr>
          <w:sz w:val="20"/>
          <w:szCs w:val="20"/>
          <w:lang w:val="en-GB"/>
        </w:rPr>
      </w:pPr>
    </w:p>
    <w:p w:rsidR="00ED0F7A" w:rsidRPr="006A7862" w:rsidRDefault="00ED0F7A" w:rsidP="00ED0F7A">
      <w:pPr>
        <w:spacing w:after="120"/>
        <w:rPr>
          <w:b/>
          <w:lang w:val="en-GB"/>
        </w:rPr>
      </w:pPr>
      <w:r>
        <w:rPr>
          <w:b/>
          <w:lang w:val="en-GB"/>
        </w:rPr>
        <w:lastRenderedPageBreak/>
        <w:t>The Reference S</w:t>
      </w:r>
      <w:r w:rsidRPr="006A7862">
        <w:rPr>
          <w:b/>
          <w:lang w:val="en-GB"/>
        </w:rPr>
        <w:t>ection</w:t>
      </w:r>
      <w:r>
        <w:rPr>
          <w:b/>
          <w:lang w:val="en-GB"/>
        </w:rPr>
        <w:t xml:space="preserve"> (p. 193)</w:t>
      </w:r>
      <w:r w:rsidRPr="006A7862">
        <w:rPr>
          <w:b/>
          <w:lang w:val="en-GB"/>
        </w:rPr>
        <w:t>.</w:t>
      </w:r>
    </w:p>
    <w:p w:rsidR="00ED0F7A" w:rsidRDefault="00ED0F7A" w:rsidP="00ED0F7A">
      <w:pPr>
        <w:spacing w:after="120"/>
        <w:rPr>
          <w:lang w:val="en-GB"/>
        </w:rPr>
      </w:pPr>
      <w:r w:rsidRPr="006A7862">
        <w:rPr>
          <w:lang w:val="en-GB"/>
        </w:rPr>
        <w:t>The following fo</w:t>
      </w:r>
      <w:r>
        <w:rPr>
          <w:lang w:val="en-GB"/>
        </w:rPr>
        <w:t xml:space="preserve">rmats should be familiar to you. However, there have been a number of changes, including the inclusion of something called a DOI number. DOI numbers are ‘digital object identifiers’ which provide a persistent link to that content on the internet. This allows readers to access the content in your reference list. DOI numbers are added to the end of the usual journal reference format in the form: </w:t>
      </w:r>
      <w:proofErr w:type="spellStart"/>
      <w:r>
        <w:rPr>
          <w:lang w:val="en-GB"/>
        </w:rPr>
        <w:t>doi</w:t>
      </w:r>
      <w:proofErr w:type="spellEnd"/>
      <w:r>
        <w:rPr>
          <w:lang w:val="en-GB"/>
        </w:rPr>
        <w:t xml:space="preserve">: </w:t>
      </w:r>
      <w:proofErr w:type="spellStart"/>
      <w:r>
        <w:rPr>
          <w:lang w:val="en-GB"/>
        </w:rPr>
        <w:t>xx.xxxxxxxxxxx</w:t>
      </w:r>
      <w:proofErr w:type="spellEnd"/>
      <w:r>
        <w:rPr>
          <w:lang w:val="en-GB"/>
        </w:rPr>
        <w:t xml:space="preserve">. This is shown in the first example here. </w:t>
      </w:r>
      <w:r w:rsidRPr="00DC0FA4">
        <w:rPr>
          <w:lang w:val="en-GB"/>
        </w:rPr>
        <w:t>If you</w:t>
      </w:r>
      <w:r>
        <w:rPr>
          <w:lang w:val="en-GB"/>
        </w:rPr>
        <w:t xml:space="preserve"> do not have the DOI number, you are then required to provide retrieval information as in the second example shown below. Note that issue numbers are only necessary if each issue of the journal starts at p. 1. You would then reference as in the first example here.</w:t>
      </w:r>
    </w:p>
    <w:p w:rsidR="00ED0F7A" w:rsidRPr="00D558B1" w:rsidRDefault="00ED0F7A" w:rsidP="00ED0F7A">
      <w:pPr>
        <w:spacing w:after="120"/>
        <w:rPr>
          <w:i/>
          <w:lang w:val="en-GB"/>
        </w:rPr>
      </w:pPr>
      <w:r w:rsidRPr="00D558B1">
        <w:rPr>
          <w:i/>
          <w:lang w:val="en-GB"/>
        </w:rPr>
        <w:t>NOTE: Both of the two following rules regarding DOI numbers and retrieval information will be integrated into DClinPsy academic submissions from 1</w:t>
      </w:r>
      <w:r w:rsidRPr="00D558B1">
        <w:rPr>
          <w:i/>
          <w:vertAlign w:val="superscript"/>
          <w:lang w:val="en-GB"/>
        </w:rPr>
        <w:t>st</w:t>
      </w:r>
      <w:r w:rsidRPr="00D558B1">
        <w:rPr>
          <w:i/>
          <w:lang w:val="en-GB"/>
        </w:rPr>
        <w:t xml:space="preserve"> September 2010.</w:t>
      </w:r>
    </w:p>
    <w:p w:rsidR="00ED0F7A" w:rsidRPr="00DC0FA4" w:rsidRDefault="00ED0F7A" w:rsidP="00ED0F7A">
      <w:pPr>
        <w:spacing w:after="120"/>
        <w:rPr>
          <w:b/>
          <w:lang w:val="en-GB"/>
        </w:rPr>
      </w:pPr>
      <w:r w:rsidRPr="00DC0FA4">
        <w:rPr>
          <w:b/>
          <w:lang w:val="en-GB"/>
        </w:rPr>
        <w:t>Journal article (if you have the DOI number)</w:t>
      </w:r>
    </w:p>
    <w:p w:rsidR="00ED0F7A" w:rsidRPr="00D2228B" w:rsidRDefault="00ED0F7A" w:rsidP="00ED0F7A">
      <w:pPr>
        <w:spacing w:after="120"/>
        <w:ind w:left="284" w:hanging="284"/>
        <w:rPr>
          <w:sz w:val="20"/>
          <w:lang w:val="en-GB"/>
        </w:rPr>
      </w:pPr>
      <w:proofErr w:type="spellStart"/>
      <w:proofErr w:type="gramStart"/>
      <w:r w:rsidRPr="00180F7A">
        <w:rPr>
          <w:sz w:val="20"/>
        </w:rPr>
        <w:t>Msetfi</w:t>
      </w:r>
      <w:proofErr w:type="spellEnd"/>
      <w:r w:rsidRPr="00180F7A">
        <w:rPr>
          <w:sz w:val="20"/>
        </w:rPr>
        <w:t xml:space="preserve">, R., Murphy, R., </w:t>
      </w:r>
      <w:proofErr w:type="spellStart"/>
      <w:r w:rsidRPr="00180F7A">
        <w:rPr>
          <w:sz w:val="20"/>
        </w:rPr>
        <w:t>Kornbrot</w:t>
      </w:r>
      <w:proofErr w:type="spellEnd"/>
      <w:r w:rsidRPr="00180F7A">
        <w:rPr>
          <w:sz w:val="20"/>
        </w:rPr>
        <w:t xml:space="preserve">, D., &amp; </w:t>
      </w:r>
      <w:bookmarkStart w:id="0" w:name="_GoBack"/>
      <w:r w:rsidRPr="00180F7A">
        <w:rPr>
          <w:sz w:val="20"/>
        </w:rPr>
        <w:t>Simpson</w:t>
      </w:r>
      <w:bookmarkEnd w:id="0"/>
      <w:r w:rsidRPr="00180F7A">
        <w:rPr>
          <w:sz w:val="20"/>
        </w:rPr>
        <w:t>, J. (2008).</w:t>
      </w:r>
      <w:proofErr w:type="gramEnd"/>
      <w:r w:rsidRPr="00180F7A">
        <w:rPr>
          <w:sz w:val="20"/>
        </w:rPr>
        <w:t xml:space="preserve"> </w:t>
      </w:r>
      <w:proofErr w:type="gramStart"/>
      <w:r w:rsidRPr="00180F7A">
        <w:rPr>
          <w:sz w:val="20"/>
        </w:rPr>
        <w:t>Impaired context maintenance in mild to moderately depressed students.</w:t>
      </w:r>
      <w:proofErr w:type="gramEnd"/>
      <w:r w:rsidRPr="00180F7A">
        <w:rPr>
          <w:sz w:val="20"/>
        </w:rPr>
        <w:t xml:space="preserve"> </w:t>
      </w:r>
      <w:r w:rsidRPr="00180F7A">
        <w:rPr>
          <w:i/>
          <w:sz w:val="20"/>
        </w:rPr>
        <w:t>The Quarterly Journal of Experimental Psychology</w:t>
      </w:r>
      <w:r w:rsidRPr="00180F7A">
        <w:rPr>
          <w:sz w:val="20"/>
        </w:rPr>
        <w:t xml:space="preserve">, </w:t>
      </w:r>
      <w:r w:rsidRPr="00180F7A">
        <w:rPr>
          <w:i/>
          <w:sz w:val="20"/>
        </w:rPr>
        <w:t>62</w:t>
      </w:r>
      <w:r w:rsidRPr="00180F7A">
        <w:rPr>
          <w:sz w:val="20"/>
        </w:rPr>
        <w:t xml:space="preserve">(4), 653-662. </w:t>
      </w:r>
      <w:proofErr w:type="gramStart"/>
      <w:r w:rsidRPr="00180F7A">
        <w:rPr>
          <w:sz w:val="20"/>
        </w:rPr>
        <w:t>doi:</w:t>
      </w:r>
      <w:proofErr w:type="gramEnd"/>
      <w:r w:rsidRPr="00180F7A">
        <w:rPr>
          <w:sz w:val="20"/>
        </w:rPr>
        <w:t>10.1080/17470210802486092.</w:t>
      </w:r>
    </w:p>
    <w:p w:rsidR="00ED0F7A" w:rsidRDefault="00ED0F7A" w:rsidP="00ED0F7A">
      <w:pPr>
        <w:spacing w:after="120"/>
        <w:rPr>
          <w:b/>
          <w:lang w:val="en-GB"/>
        </w:rPr>
      </w:pPr>
      <w:r w:rsidRPr="00DC0FA4">
        <w:rPr>
          <w:b/>
          <w:lang w:val="en-GB"/>
        </w:rPr>
        <w:t xml:space="preserve">Journal article (if you do </w:t>
      </w:r>
      <w:r>
        <w:rPr>
          <w:b/>
          <w:lang w:val="en-GB"/>
        </w:rPr>
        <w:t>NOT</w:t>
      </w:r>
      <w:r w:rsidRPr="00DC0FA4">
        <w:rPr>
          <w:b/>
          <w:lang w:val="en-GB"/>
        </w:rPr>
        <w:t xml:space="preserve"> have the DOI number)</w:t>
      </w:r>
    </w:p>
    <w:p w:rsidR="00ED0F7A" w:rsidRPr="00180F7A" w:rsidRDefault="00ED0F7A" w:rsidP="00ED0F7A">
      <w:pPr>
        <w:spacing w:after="120"/>
        <w:ind w:left="284" w:hanging="284"/>
        <w:rPr>
          <w:b/>
          <w:sz w:val="20"/>
          <w:lang w:val="en-GB"/>
        </w:rPr>
      </w:pPr>
      <w:proofErr w:type="gramStart"/>
      <w:r w:rsidRPr="00180F7A">
        <w:rPr>
          <w:sz w:val="20"/>
        </w:rPr>
        <w:t>Wilde, D., &amp; Murray, C. (2010).</w:t>
      </w:r>
      <w:proofErr w:type="gramEnd"/>
      <w:r w:rsidRPr="00180F7A">
        <w:rPr>
          <w:sz w:val="20"/>
        </w:rPr>
        <w:t xml:space="preserve"> </w:t>
      </w:r>
      <w:proofErr w:type="gramStart"/>
      <w:r w:rsidRPr="00180F7A">
        <w:rPr>
          <w:sz w:val="20"/>
        </w:rPr>
        <w:t>Interpreting the anomalous: Finding meaning in out-of-body and near-death experiences.</w:t>
      </w:r>
      <w:proofErr w:type="gramEnd"/>
      <w:r w:rsidRPr="00180F7A">
        <w:rPr>
          <w:sz w:val="20"/>
        </w:rPr>
        <w:t xml:space="preserve"> </w:t>
      </w:r>
      <w:r w:rsidRPr="00180F7A">
        <w:rPr>
          <w:i/>
          <w:sz w:val="20"/>
        </w:rPr>
        <w:t>Qualitative Research in Psychology</w:t>
      </w:r>
      <w:r w:rsidRPr="00180F7A">
        <w:rPr>
          <w:sz w:val="20"/>
        </w:rPr>
        <w:t xml:space="preserve">, </w:t>
      </w:r>
      <w:r w:rsidRPr="00180F7A">
        <w:rPr>
          <w:i/>
          <w:sz w:val="20"/>
        </w:rPr>
        <w:t>7</w:t>
      </w:r>
      <w:r w:rsidRPr="00180F7A">
        <w:rPr>
          <w:sz w:val="20"/>
        </w:rPr>
        <w:t xml:space="preserve">(1), 57-72. </w:t>
      </w:r>
      <w:proofErr w:type="gramStart"/>
      <w:r w:rsidRPr="00180F7A">
        <w:rPr>
          <w:sz w:val="20"/>
        </w:rPr>
        <w:t xml:space="preserve">Retrieved from </w:t>
      </w:r>
      <w:proofErr w:type="spellStart"/>
      <w:r w:rsidRPr="00180F7A">
        <w:rPr>
          <w:sz w:val="20"/>
        </w:rPr>
        <w:t>PsycINFO</w:t>
      </w:r>
      <w:proofErr w:type="spellEnd"/>
      <w:r w:rsidRPr="00180F7A">
        <w:rPr>
          <w:sz w:val="20"/>
        </w:rPr>
        <w:t xml:space="preserve"> database.</w:t>
      </w:r>
      <w:proofErr w:type="gramEnd"/>
    </w:p>
    <w:p w:rsidR="00ED0F7A" w:rsidRPr="0008063B" w:rsidRDefault="00ED0F7A" w:rsidP="00ED0F7A">
      <w:pPr>
        <w:spacing w:after="120"/>
        <w:rPr>
          <w:b/>
          <w:lang w:val="en-GB"/>
        </w:rPr>
      </w:pPr>
      <w:r w:rsidRPr="0008063B">
        <w:rPr>
          <w:b/>
          <w:lang w:val="en-GB"/>
        </w:rPr>
        <w:t>Book</w:t>
      </w:r>
    </w:p>
    <w:p w:rsidR="00ED0F7A" w:rsidRPr="00180F7A" w:rsidRDefault="00ED0F7A" w:rsidP="00ED0F7A">
      <w:pPr>
        <w:spacing w:after="120"/>
        <w:rPr>
          <w:sz w:val="20"/>
          <w:lang w:val="en-GB"/>
        </w:rPr>
      </w:pPr>
      <w:r w:rsidRPr="00180F7A">
        <w:rPr>
          <w:sz w:val="20"/>
          <w:lang w:val="en-GB"/>
        </w:rPr>
        <w:t xml:space="preserve">Giles, D.C. (2003). </w:t>
      </w:r>
      <w:proofErr w:type="gramStart"/>
      <w:r w:rsidRPr="00180F7A">
        <w:rPr>
          <w:i/>
          <w:iCs/>
          <w:sz w:val="20"/>
          <w:lang w:val="en-GB"/>
        </w:rPr>
        <w:t>Media Psychology</w:t>
      </w:r>
      <w:r w:rsidRPr="00180F7A">
        <w:rPr>
          <w:sz w:val="20"/>
          <w:lang w:val="en-GB"/>
        </w:rPr>
        <w:t>.</w:t>
      </w:r>
      <w:proofErr w:type="gramEnd"/>
      <w:r w:rsidRPr="00180F7A">
        <w:rPr>
          <w:sz w:val="20"/>
          <w:lang w:val="en-GB"/>
        </w:rPr>
        <w:t xml:space="preserve"> Mahwah, NJ: Lawrence Erlbaum Associates.</w:t>
      </w:r>
    </w:p>
    <w:p w:rsidR="00ED0F7A" w:rsidRPr="0008063B" w:rsidRDefault="00ED0F7A" w:rsidP="00ED0F7A">
      <w:pPr>
        <w:spacing w:after="120"/>
        <w:rPr>
          <w:b/>
          <w:lang w:val="en-GB"/>
        </w:rPr>
      </w:pPr>
      <w:r w:rsidRPr="0008063B">
        <w:rPr>
          <w:b/>
          <w:lang w:val="en-GB"/>
        </w:rPr>
        <w:t>Book chapter</w:t>
      </w:r>
    </w:p>
    <w:p w:rsidR="00ED0F7A" w:rsidRPr="00180F7A" w:rsidRDefault="00ED0F7A" w:rsidP="00ED0F7A">
      <w:pPr>
        <w:spacing w:after="120"/>
        <w:ind w:left="567" w:hanging="567"/>
        <w:rPr>
          <w:sz w:val="20"/>
          <w:lang w:val="en-GB"/>
        </w:rPr>
      </w:pPr>
      <w:proofErr w:type="gramStart"/>
      <w:r w:rsidRPr="00180F7A">
        <w:rPr>
          <w:sz w:val="20"/>
          <w:lang w:val="en-GB"/>
        </w:rPr>
        <w:t xml:space="preserve">Daiches, A., </w:t>
      </w:r>
      <w:proofErr w:type="spellStart"/>
      <w:r w:rsidRPr="00180F7A">
        <w:rPr>
          <w:sz w:val="20"/>
          <w:lang w:val="en-GB"/>
        </w:rPr>
        <w:t>Verduyn</w:t>
      </w:r>
      <w:proofErr w:type="spellEnd"/>
      <w:r w:rsidRPr="00180F7A">
        <w:rPr>
          <w:sz w:val="20"/>
          <w:lang w:val="en-GB"/>
        </w:rPr>
        <w:t>, C., &amp; Mercer, A. (2005).</w:t>
      </w:r>
      <w:proofErr w:type="gramEnd"/>
      <w:r w:rsidRPr="00180F7A">
        <w:rPr>
          <w:sz w:val="20"/>
          <w:lang w:val="en-GB"/>
        </w:rPr>
        <w:t xml:space="preserve"> </w:t>
      </w:r>
      <w:proofErr w:type="gramStart"/>
      <w:r w:rsidRPr="00180F7A">
        <w:rPr>
          <w:sz w:val="20"/>
          <w:lang w:val="en-GB"/>
        </w:rPr>
        <w:t>Continuing professional development and the transition from ‘A' Grade to ‘B' Grade.</w:t>
      </w:r>
      <w:proofErr w:type="gramEnd"/>
      <w:r w:rsidRPr="00180F7A">
        <w:rPr>
          <w:sz w:val="20"/>
          <w:lang w:val="en-GB"/>
        </w:rPr>
        <w:t xml:space="preserve"> In L. Golding &amp; I. </w:t>
      </w:r>
      <w:proofErr w:type="spellStart"/>
      <w:r w:rsidRPr="00180F7A">
        <w:rPr>
          <w:sz w:val="20"/>
          <w:lang w:val="en-GB"/>
        </w:rPr>
        <w:t>Gray</w:t>
      </w:r>
      <w:proofErr w:type="spellEnd"/>
      <w:r w:rsidRPr="00180F7A">
        <w:rPr>
          <w:sz w:val="20"/>
          <w:lang w:val="en-GB"/>
        </w:rPr>
        <w:t xml:space="preserve"> (Eds.), </w:t>
      </w:r>
      <w:r w:rsidRPr="00180F7A">
        <w:rPr>
          <w:bCs/>
          <w:i/>
          <w:sz w:val="20"/>
          <w:lang w:val="en-GB"/>
        </w:rPr>
        <w:t>Continuing professional development for clinical psychologists: A practical handbook</w:t>
      </w:r>
      <w:r w:rsidRPr="00180F7A">
        <w:rPr>
          <w:bCs/>
          <w:sz w:val="20"/>
          <w:lang w:val="en-GB"/>
        </w:rPr>
        <w:t xml:space="preserve"> (pp. 102-124).</w:t>
      </w:r>
      <w:r w:rsidRPr="00180F7A">
        <w:rPr>
          <w:sz w:val="20"/>
          <w:lang w:val="en-GB"/>
        </w:rPr>
        <w:t xml:space="preserve"> Oxford: Blackwell.</w:t>
      </w:r>
    </w:p>
    <w:p w:rsidR="00ED0F7A" w:rsidRDefault="00ED0F7A" w:rsidP="00ED0F7A">
      <w:pPr>
        <w:spacing w:after="120"/>
        <w:rPr>
          <w:lang w:val="en-GB"/>
        </w:rPr>
      </w:pPr>
      <w:r>
        <w:rPr>
          <w:lang w:val="en-GB"/>
        </w:rPr>
        <w:t>Note that if DOIs are assigned to books or book chapters, these should be added to the end of the reference in the same way as for journal articles.</w:t>
      </w:r>
    </w:p>
    <w:p w:rsidR="00ED0F7A" w:rsidRPr="006A7862" w:rsidRDefault="00ED0F7A" w:rsidP="00ED0F7A">
      <w:pPr>
        <w:spacing w:after="120"/>
        <w:rPr>
          <w:lang w:val="en-GB"/>
        </w:rPr>
      </w:pPr>
      <w:r w:rsidRPr="006A7862">
        <w:rPr>
          <w:lang w:val="en-GB"/>
        </w:rPr>
        <w:t>Other sources include: dissertations, newspaper and magazine articles, conference papers, non</w:t>
      </w:r>
      <w:r>
        <w:rPr>
          <w:lang w:val="en-GB"/>
        </w:rPr>
        <w:t>-</w:t>
      </w:r>
      <w:r w:rsidRPr="006A7862">
        <w:rPr>
          <w:lang w:val="en-GB"/>
        </w:rPr>
        <w:t>academic reports (e.g., to funders). The format varies according to the nature of the source, but for a typical example of a conference paper:</w:t>
      </w:r>
    </w:p>
    <w:p w:rsidR="00ED0F7A" w:rsidRPr="006A7862" w:rsidRDefault="00ED0F7A" w:rsidP="00ED0F7A">
      <w:pPr>
        <w:spacing w:after="120"/>
        <w:rPr>
          <w:lang w:val="en-GB"/>
        </w:rPr>
      </w:pPr>
    </w:p>
    <w:p w:rsidR="00ED0F7A" w:rsidRPr="00180F7A" w:rsidRDefault="00ED0F7A" w:rsidP="00ED0F7A">
      <w:pPr>
        <w:spacing w:after="120"/>
        <w:ind w:left="567" w:hanging="567"/>
        <w:outlineLvl w:val="0"/>
        <w:rPr>
          <w:bCs/>
          <w:sz w:val="20"/>
          <w:lang w:val="en-GB"/>
        </w:rPr>
      </w:pPr>
      <w:proofErr w:type="gramStart"/>
      <w:r w:rsidRPr="00180F7A">
        <w:rPr>
          <w:bCs/>
          <w:sz w:val="20"/>
          <w:lang w:val="en-GB"/>
        </w:rPr>
        <w:t xml:space="preserve">Giles, D.C., </w:t>
      </w:r>
      <w:proofErr w:type="spellStart"/>
      <w:r w:rsidRPr="00180F7A">
        <w:rPr>
          <w:bCs/>
          <w:sz w:val="20"/>
          <w:lang w:val="en-GB"/>
        </w:rPr>
        <w:t>Pietrzykowski</w:t>
      </w:r>
      <w:proofErr w:type="spellEnd"/>
      <w:r w:rsidRPr="00180F7A">
        <w:rPr>
          <w:bCs/>
          <w:sz w:val="20"/>
          <w:lang w:val="en-GB"/>
        </w:rPr>
        <w:t>, S., &amp; Clark, K.E. (2005, July).</w:t>
      </w:r>
      <w:proofErr w:type="gramEnd"/>
      <w:r w:rsidRPr="00180F7A">
        <w:rPr>
          <w:bCs/>
          <w:sz w:val="20"/>
          <w:lang w:val="en-GB"/>
        </w:rPr>
        <w:t xml:space="preserve"> </w:t>
      </w:r>
      <w:r w:rsidRPr="00180F7A">
        <w:rPr>
          <w:bCs/>
          <w:i/>
          <w:sz w:val="20"/>
          <w:lang w:val="en-GB"/>
        </w:rPr>
        <w:t>“The joy of ownership”: The psychological meaning of personal record collections</w:t>
      </w:r>
      <w:r w:rsidRPr="00180F7A">
        <w:rPr>
          <w:bCs/>
          <w:sz w:val="20"/>
          <w:lang w:val="en-GB"/>
        </w:rPr>
        <w:t>. Paper presented at the Ninth European Congress of Psychology, Granada, Spain.</w:t>
      </w:r>
    </w:p>
    <w:p w:rsidR="00ED0F7A" w:rsidRPr="006A7862" w:rsidRDefault="00ED0F7A" w:rsidP="00ED0F7A">
      <w:pPr>
        <w:spacing w:after="120"/>
        <w:outlineLvl w:val="0"/>
        <w:rPr>
          <w:bCs/>
          <w:lang w:val="en-GB"/>
        </w:rPr>
      </w:pPr>
    </w:p>
    <w:p w:rsidR="00ED0F7A" w:rsidRPr="0008063B" w:rsidRDefault="00ED0F7A" w:rsidP="00ED0F7A">
      <w:pPr>
        <w:spacing w:after="120"/>
        <w:outlineLvl w:val="0"/>
        <w:rPr>
          <w:bCs/>
          <w:lang w:val="en-GB"/>
        </w:rPr>
      </w:pPr>
      <w:r w:rsidRPr="0008063B">
        <w:rPr>
          <w:bCs/>
          <w:lang w:val="en-GB"/>
        </w:rPr>
        <w:t>Online sources are much more complicated but most are covered in the APA 6</w:t>
      </w:r>
      <w:r w:rsidRPr="0008063B">
        <w:rPr>
          <w:bCs/>
          <w:vertAlign w:val="superscript"/>
          <w:lang w:val="en-GB"/>
        </w:rPr>
        <w:t>th</w:t>
      </w:r>
      <w:r w:rsidRPr="0008063B">
        <w:rPr>
          <w:bCs/>
          <w:lang w:val="en-GB"/>
        </w:rPr>
        <w:t xml:space="preserve"> edition manual. So for example, explicit instructions are given about how to reference a blog post or a message posted to a discussion board. However it should be noted that very often the material you cite has landed on the Web via an offline source, or lacks a named author or publication date. The main rule-of-thumb is that you give as much information as necessary for a reader to locate the material, so typically you would</w:t>
      </w:r>
      <w:r>
        <w:rPr>
          <w:bCs/>
          <w:lang w:val="en-GB"/>
        </w:rPr>
        <w:t xml:space="preserve"> add the date of </w:t>
      </w:r>
      <w:r>
        <w:rPr>
          <w:bCs/>
          <w:lang w:val="en-GB"/>
        </w:rPr>
        <w:lastRenderedPageBreak/>
        <w:t>retrieval after the author’s name (could be a screen name) and</w:t>
      </w:r>
      <w:r w:rsidRPr="0008063B">
        <w:rPr>
          <w:bCs/>
          <w:lang w:val="en-GB"/>
        </w:rPr>
        <w:t xml:space="preserve"> conclude with the words “Retrieved from” followed by the URL information in the address bar. </w:t>
      </w:r>
      <w:r>
        <w:rPr>
          <w:bCs/>
          <w:lang w:val="en-GB"/>
        </w:rPr>
        <w:t>Here are some specific</w:t>
      </w:r>
      <w:r w:rsidRPr="0008063B">
        <w:rPr>
          <w:bCs/>
          <w:lang w:val="en-GB"/>
        </w:rPr>
        <w:t xml:space="preserve"> example</w:t>
      </w:r>
      <w:r>
        <w:rPr>
          <w:bCs/>
          <w:lang w:val="en-GB"/>
        </w:rPr>
        <w:t>s though</w:t>
      </w:r>
      <w:r w:rsidRPr="0008063B">
        <w:rPr>
          <w:bCs/>
          <w:lang w:val="en-GB"/>
        </w:rPr>
        <w:t>:</w:t>
      </w:r>
    </w:p>
    <w:p w:rsidR="00ED0F7A" w:rsidRPr="0066489D" w:rsidRDefault="00ED0F7A" w:rsidP="00ED0F7A">
      <w:pPr>
        <w:autoSpaceDE w:val="0"/>
        <w:autoSpaceDN w:val="0"/>
        <w:adjustRightInd w:val="0"/>
        <w:spacing w:after="120"/>
        <w:ind w:left="567" w:hanging="567"/>
        <w:rPr>
          <w:rFonts w:cs="TimesTen-Bold"/>
          <w:b/>
          <w:bCs/>
          <w:lang w:val="en-GB"/>
        </w:rPr>
      </w:pPr>
      <w:r w:rsidRPr="0066489D">
        <w:rPr>
          <w:rFonts w:cs="TimesTen-Bold"/>
          <w:b/>
          <w:bCs/>
          <w:lang w:val="en-GB"/>
        </w:rPr>
        <w:t>Online blog:</w:t>
      </w:r>
    </w:p>
    <w:p w:rsidR="00ED0F7A" w:rsidRPr="00180F7A" w:rsidRDefault="00ED0F7A" w:rsidP="00ED0F7A">
      <w:pPr>
        <w:rPr>
          <w:sz w:val="20"/>
        </w:rPr>
      </w:pPr>
      <w:r w:rsidRPr="00180F7A">
        <w:rPr>
          <w:sz w:val="20"/>
        </w:rPr>
        <w:t xml:space="preserve">Nathan. (2010, April 30).  </w:t>
      </w:r>
      <w:hyperlink r:id="rId10" w:history="1">
        <w:proofErr w:type="gramStart"/>
        <w:r w:rsidRPr="00180F7A">
          <w:rPr>
            <w:sz w:val="20"/>
          </w:rPr>
          <w:t>Depressive Realism - A More Accurate Worldview But Not Necessarily a Healthy One</w:t>
        </w:r>
      </w:hyperlink>
      <w:r w:rsidRPr="00180F7A">
        <w:rPr>
          <w:sz w:val="20"/>
        </w:rPr>
        <w:t>.</w:t>
      </w:r>
      <w:proofErr w:type="gramEnd"/>
      <w:r w:rsidRPr="00180F7A">
        <w:rPr>
          <w:sz w:val="20"/>
        </w:rPr>
        <w:t xml:space="preserve"> Retrieved from </w:t>
      </w:r>
      <w:hyperlink r:id="rId11" w:history="1">
        <w:r w:rsidRPr="00180F7A">
          <w:rPr>
            <w:rStyle w:val="Hyperlink"/>
            <w:sz w:val="20"/>
          </w:rPr>
          <w:t>http://tryinghardtobreakfree.blogspot.com/2010/02/depressive-realism-more-accurate.html</w:t>
        </w:r>
      </w:hyperlink>
    </w:p>
    <w:p w:rsidR="00ED0F7A" w:rsidRDefault="00ED0F7A" w:rsidP="00ED0F7A">
      <w:pPr>
        <w:spacing w:after="120"/>
        <w:outlineLvl w:val="0"/>
        <w:rPr>
          <w:b/>
          <w:bCs/>
          <w:lang w:val="en-GB"/>
        </w:rPr>
      </w:pPr>
    </w:p>
    <w:p w:rsidR="00ED0F7A" w:rsidRPr="0066489D" w:rsidRDefault="00ED0F7A" w:rsidP="00ED0F7A">
      <w:pPr>
        <w:spacing w:after="120"/>
        <w:outlineLvl w:val="0"/>
        <w:rPr>
          <w:b/>
          <w:bCs/>
          <w:lang w:val="en-GB"/>
        </w:rPr>
      </w:pPr>
      <w:r>
        <w:rPr>
          <w:b/>
          <w:bCs/>
          <w:lang w:val="en-GB"/>
        </w:rPr>
        <w:t>Online magazine:</w:t>
      </w:r>
    </w:p>
    <w:p w:rsidR="00ED0F7A" w:rsidRPr="00180F7A" w:rsidRDefault="00ED0F7A" w:rsidP="00ED0F7A">
      <w:pPr>
        <w:autoSpaceDE w:val="0"/>
        <w:autoSpaceDN w:val="0"/>
        <w:adjustRightInd w:val="0"/>
        <w:spacing w:after="120"/>
        <w:ind w:left="567" w:hanging="567"/>
        <w:rPr>
          <w:rFonts w:cs="TimesTen-Bold"/>
          <w:bCs/>
          <w:sz w:val="20"/>
          <w:lang w:val="en-GB"/>
        </w:rPr>
      </w:pPr>
      <w:r w:rsidRPr="00180F7A">
        <w:rPr>
          <w:rFonts w:cs="TimesTen-Bold"/>
          <w:bCs/>
          <w:sz w:val="20"/>
          <w:lang w:val="en-GB"/>
        </w:rPr>
        <w:t xml:space="preserve">Adelson, R. (2010, April). </w:t>
      </w:r>
      <w:proofErr w:type="gramStart"/>
      <w:r w:rsidRPr="00180F7A">
        <w:rPr>
          <w:rFonts w:cs="TimesTen-Bold"/>
          <w:bCs/>
          <w:sz w:val="20"/>
          <w:lang w:val="en-GB"/>
        </w:rPr>
        <w:t>Probing the puzzling workings of depressive realism.</w:t>
      </w:r>
      <w:proofErr w:type="gramEnd"/>
      <w:r w:rsidRPr="00180F7A">
        <w:rPr>
          <w:rFonts w:cs="TimesTen-Bold"/>
          <w:bCs/>
          <w:sz w:val="20"/>
          <w:lang w:val="en-GB"/>
        </w:rPr>
        <w:t xml:space="preserve"> </w:t>
      </w:r>
      <w:r w:rsidRPr="00180F7A">
        <w:rPr>
          <w:rFonts w:cs="TimesTen-Bold"/>
          <w:bCs/>
          <w:i/>
          <w:sz w:val="20"/>
          <w:lang w:val="en-GB"/>
        </w:rPr>
        <w:t>Monitor on Psychology, 36</w:t>
      </w:r>
      <w:r w:rsidRPr="00180F7A">
        <w:rPr>
          <w:rFonts w:cs="TimesTen-Bold"/>
          <w:bCs/>
          <w:sz w:val="20"/>
          <w:lang w:val="en-GB"/>
        </w:rPr>
        <w:t xml:space="preserve">(4). Retrieved from </w:t>
      </w:r>
      <w:hyperlink r:id="rId12" w:history="1">
        <w:r w:rsidRPr="00180F7A">
          <w:rPr>
            <w:rStyle w:val="Hyperlink"/>
            <w:rFonts w:cs="TimesTen-Bold"/>
            <w:bCs/>
            <w:sz w:val="20"/>
            <w:lang w:val="en-GB"/>
          </w:rPr>
          <w:t>http://www.apa.org/monitor/apr05/realism.aspx</w:t>
        </w:r>
      </w:hyperlink>
    </w:p>
    <w:p w:rsidR="00ED0F7A" w:rsidRPr="00F4527C" w:rsidRDefault="00ED0F7A" w:rsidP="00ED0F7A"/>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Don’t forget to </w:t>
      </w:r>
      <w:r>
        <w:rPr>
          <w:rFonts w:cs="TimesTen-Bold"/>
          <w:bCs/>
          <w:lang w:val="en-GB"/>
        </w:rPr>
        <w:t xml:space="preserve">keep a record of the content and </w:t>
      </w:r>
      <w:r w:rsidRPr="006A7862">
        <w:rPr>
          <w:rFonts w:cs="TimesTen-Bold"/>
          <w:bCs/>
          <w:lang w:val="en-GB"/>
        </w:rPr>
        <w:t>references</w:t>
      </w:r>
      <w:r>
        <w:rPr>
          <w:rFonts w:cs="TimesTen-Bold"/>
          <w:bCs/>
          <w:lang w:val="en-GB"/>
        </w:rPr>
        <w:t xml:space="preserve"> (save a copy of the webpage)</w:t>
      </w:r>
      <w:r w:rsidRPr="006A7862">
        <w:rPr>
          <w:rFonts w:cs="TimesTen-Bold"/>
          <w:bCs/>
          <w:lang w:val="en-GB"/>
        </w:rPr>
        <w:t xml:space="preserve"> before you submit your work, otherwise you may find that they have changed – the site itself may no longer even exist!</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rPr>
          <w:rFonts w:cs="TimesTen-Bold"/>
          <w:b/>
          <w:bCs/>
          <w:lang w:val="en-GB"/>
        </w:rPr>
      </w:pPr>
      <w:r w:rsidRPr="006A7862">
        <w:rPr>
          <w:rFonts w:cs="TimesTen-Bold"/>
          <w:b/>
          <w:bCs/>
          <w:lang w:val="en-GB"/>
        </w:rPr>
        <w:t>Reporting Statistical Information</w:t>
      </w:r>
      <w:r>
        <w:rPr>
          <w:rFonts w:cs="TimesTen-Bold"/>
          <w:b/>
          <w:bCs/>
          <w:lang w:val="en-GB"/>
        </w:rPr>
        <w:t xml:space="preserve"> (p. 116)</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The APA is very particular about the use of punctuation, abbreviation and typeface when it comes to statistical material. In the Appendix we have listed the most common symbols in their correct typeface. However most of the conventions are universal so they will apply to any scientific publication.</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First, authors should include enough information to enable readers to understand the analysis. For an ANOVA, for example, you would expect to include means and standard deviations, F ratios, degrees of freedom, </w:t>
      </w:r>
      <w:r>
        <w:rPr>
          <w:rFonts w:cs="TimesTen-Bold"/>
          <w:bCs/>
          <w:lang w:val="en-GB"/>
        </w:rPr>
        <w:t>p-values</w:t>
      </w:r>
      <w:r w:rsidRPr="006A7862">
        <w:rPr>
          <w:rFonts w:cs="TimesTen-Bold"/>
          <w:bCs/>
          <w:lang w:val="en-GB"/>
        </w:rPr>
        <w:t xml:space="preserve">, and a measure of effect size. </w:t>
      </w:r>
    </w:p>
    <w:p w:rsidR="00ED0F7A" w:rsidRPr="006A7862" w:rsidRDefault="00ED0F7A" w:rsidP="00ED0F7A">
      <w:pPr>
        <w:autoSpaceDE w:val="0"/>
        <w:autoSpaceDN w:val="0"/>
        <w:adjustRightInd w:val="0"/>
        <w:spacing w:after="120"/>
        <w:rPr>
          <w:rFonts w:cs="TimesTen-Bold"/>
          <w:bCs/>
          <w:lang w:val="en-GB"/>
        </w:rPr>
      </w:pPr>
      <w:r w:rsidRPr="00756612">
        <w:rPr>
          <w:rFonts w:cs="TimesTen-Bold"/>
          <w:bCs/>
          <w:lang w:val="en-GB"/>
        </w:rPr>
        <w:t>Note also which</w:t>
      </w:r>
      <w:r w:rsidRPr="006A7862">
        <w:rPr>
          <w:rFonts w:cs="TimesTen-Bold"/>
          <w:bCs/>
          <w:lang w:val="en-GB"/>
        </w:rPr>
        <w:t xml:space="preserve"> symbols are in italics, which material appears in parentheses, and where spaces occur in the text. For example, there’s no space between F and the left hand parenthesis denoting the degrees of freedom, but there </w:t>
      </w:r>
      <w:r w:rsidRPr="006A7862">
        <w:rPr>
          <w:rFonts w:cs="TimesTen-Bold"/>
          <w:bCs/>
          <w:i/>
          <w:lang w:val="en-GB"/>
        </w:rPr>
        <w:t>is</w:t>
      </w:r>
      <w:r w:rsidRPr="006A7862">
        <w:rPr>
          <w:rFonts w:cs="TimesTen-Bold"/>
          <w:bCs/>
          <w:lang w:val="en-GB"/>
        </w:rPr>
        <w:t xml:space="preserve"> a space either side of the equals sign and between the </w:t>
      </w:r>
      <w:r w:rsidRPr="006A7862">
        <w:rPr>
          <w:rFonts w:cs="TimesTen-Bold"/>
          <w:bCs/>
          <w:i/>
          <w:lang w:val="en-GB"/>
        </w:rPr>
        <w:t>p</w:t>
      </w:r>
      <w:r w:rsidRPr="006A7862">
        <w:rPr>
          <w:rFonts w:cs="TimesTen-Bold"/>
          <w:bCs/>
          <w:lang w:val="en-GB"/>
        </w:rPr>
        <w:t xml:space="preserve"> and its value.</w:t>
      </w:r>
    </w:p>
    <w:p w:rsidR="00ED0F7A" w:rsidRPr="00180F7A" w:rsidRDefault="00ED0F7A" w:rsidP="00ED0F7A">
      <w:pPr>
        <w:autoSpaceDE w:val="0"/>
        <w:autoSpaceDN w:val="0"/>
        <w:adjustRightInd w:val="0"/>
        <w:spacing w:after="120"/>
        <w:rPr>
          <w:rFonts w:cs="TimesTen-Bold"/>
          <w:bCs/>
          <w:sz w:val="20"/>
          <w:lang w:val="en-GB"/>
        </w:rPr>
      </w:pPr>
      <w:r w:rsidRPr="00180F7A">
        <w:rPr>
          <w:rFonts w:cs="TimesTen-Bold"/>
          <w:bCs/>
          <w:sz w:val="20"/>
          <w:lang w:val="en-GB"/>
        </w:rPr>
        <w:t xml:space="preserve">The test of the main effect of condition was statistically significant, </w:t>
      </w:r>
      <w:proofErr w:type="gramStart"/>
      <w:r w:rsidRPr="00180F7A">
        <w:rPr>
          <w:rFonts w:cs="TimesTen-Bold"/>
          <w:bCs/>
          <w:i/>
          <w:sz w:val="20"/>
          <w:lang w:val="en-GB"/>
        </w:rPr>
        <w:t>F</w:t>
      </w:r>
      <w:r w:rsidRPr="00180F7A">
        <w:rPr>
          <w:rFonts w:cs="TimesTen-Bold"/>
          <w:bCs/>
          <w:sz w:val="20"/>
          <w:lang w:val="en-GB"/>
        </w:rPr>
        <w:t>(</w:t>
      </w:r>
      <w:proofErr w:type="gramEnd"/>
      <w:r w:rsidRPr="00180F7A">
        <w:rPr>
          <w:rFonts w:cs="TimesTen-Bold"/>
          <w:bCs/>
          <w:sz w:val="20"/>
          <w:lang w:val="en-GB"/>
        </w:rPr>
        <w:t xml:space="preserve">4, 191) = 4.28, </w:t>
      </w:r>
      <w:r w:rsidRPr="00180F7A">
        <w:rPr>
          <w:rFonts w:cs="TimesTen-Bold"/>
          <w:bCs/>
          <w:i/>
          <w:sz w:val="20"/>
          <w:lang w:val="en-GB"/>
        </w:rPr>
        <w:t>p</w:t>
      </w:r>
      <w:r w:rsidRPr="00180F7A">
        <w:rPr>
          <w:rFonts w:cs="TimesTen-Bold"/>
          <w:bCs/>
          <w:sz w:val="20"/>
          <w:lang w:val="en-GB"/>
        </w:rPr>
        <w:t xml:space="preserve"> = .003, η</w:t>
      </w:r>
      <w:r w:rsidRPr="00180F7A">
        <w:rPr>
          <w:rFonts w:cs="TimesTen-Bold"/>
          <w:bCs/>
          <w:sz w:val="20"/>
          <w:vertAlign w:val="superscript"/>
          <w:lang w:val="en-GB"/>
        </w:rPr>
        <w:t xml:space="preserve">2 </w:t>
      </w:r>
      <w:r w:rsidRPr="00180F7A">
        <w:rPr>
          <w:rFonts w:cs="TimesTen-Bold"/>
          <w:bCs/>
          <w:sz w:val="20"/>
          <w:lang w:val="en-GB"/>
        </w:rPr>
        <w:t xml:space="preserve">= .07. </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Also note how the information is incorporated into the sentence a</w:t>
      </w:r>
      <w:r>
        <w:rPr>
          <w:rFonts w:cs="TimesTen-Bold"/>
          <w:bCs/>
          <w:lang w:val="en-GB"/>
        </w:rPr>
        <w:t>s if it were a verbal statement and is not surrounded by brackets, as it used to be in earlier versions of APA style.</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Just a note about </w:t>
      </w:r>
      <w:r w:rsidRPr="006A7862">
        <w:rPr>
          <w:rFonts w:cs="TimesTen-Bold"/>
          <w:bCs/>
          <w:i/>
          <w:lang w:val="en-GB"/>
        </w:rPr>
        <w:t>p</w:t>
      </w:r>
      <w:r w:rsidRPr="006A7862">
        <w:rPr>
          <w:rFonts w:cs="TimesTen-Bold"/>
          <w:bCs/>
          <w:lang w:val="en-GB"/>
        </w:rPr>
        <w:t xml:space="preserve"> values: some of you may have been threatened with dire consequences by psychology teachers for citing anything other than </w:t>
      </w:r>
      <w:r w:rsidRPr="006A7862">
        <w:rPr>
          <w:rFonts w:cs="TimesTen-Bold"/>
          <w:bCs/>
          <w:i/>
          <w:lang w:val="en-GB"/>
        </w:rPr>
        <w:t>p</w:t>
      </w:r>
      <w:r w:rsidRPr="006A7862">
        <w:rPr>
          <w:rFonts w:cs="TimesTen-Bold"/>
          <w:bCs/>
          <w:lang w:val="en-GB"/>
        </w:rPr>
        <w:t xml:space="preserve"> &lt; .05 or </w:t>
      </w:r>
      <w:r w:rsidRPr="006A7862">
        <w:rPr>
          <w:rFonts w:cs="TimesTen-Bold"/>
          <w:bCs/>
          <w:i/>
          <w:lang w:val="en-GB"/>
        </w:rPr>
        <w:t>p</w:t>
      </w:r>
      <w:r w:rsidRPr="006A7862">
        <w:rPr>
          <w:rFonts w:cs="TimesTen-Bold"/>
          <w:bCs/>
          <w:lang w:val="en-GB"/>
        </w:rPr>
        <w:t xml:space="preserve"> &gt; .05, the argument being that the statement of significance should simply relate to the set alpha level. However it is standard practice in these days of SPSS to record the precise p value, e.g. </w:t>
      </w:r>
      <w:r w:rsidRPr="006A7862">
        <w:rPr>
          <w:rFonts w:cs="TimesTen-Bold"/>
          <w:bCs/>
          <w:i/>
          <w:lang w:val="en-GB"/>
        </w:rPr>
        <w:t>p</w:t>
      </w:r>
      <w:r w:rsidRPr="006A7862">
        <w:rPr>
          <w:rFonts w:cs="TimesTen-Bold"/>
          <w:bCs/>
          <w:lang w:val="en-GB"/>
        </w:rPr>
        <w:t xml:space="preserve"> = .02, if it is available. It seems silly not to. Also, note that when values of any statistic are less than zero, it is conventional not to cite the zero (i.e., .05 rather than 0.05). </w:t>
      </w:r>
      <w:r w:rsidRPr="00E87DB4">
        <w:rPr>
          <w:rFonts w:cs="TimesTen-Bold"/>
          <w:bCs/>
          <w:lang w:val="en-GB"/>
        </w:rPr>
        <w:t xml:space="preserve">In spite of this preference towards citing exact </w:t>
      </w:r>
      <w:r w:rsidRPr="00E87DB4">
        <w:rPr>
          <w:rFonts w:cs="TimesTen-Bold"/>
          <w:bCs/>
          <w:i/>
          <w:lang w:val="en-GB"/>
        </w:rPr>
        <w:t>p</w:t>
      </w:r>
      <w:r w:rsidRPr="00E87DB4">
        <w:rPr>
          <w:rFonts w:cs="TimesTen-Bold"/>
          <w:bCs/>
          <w:lang w:val="en-GB"/>
        </w:rPr>
        <w:t xml:space="preserve">-values, there is an exception to this rule. If SPSS gives a </w:t>
      </w:r>
      <w:r w:rsidRPr="00E87DB4">
        <w:rPr>
          <w:rFonts w:cs="TimesTen-Bold"/>
          <w:bCs/>
          <w:i/>
          <w:lang w:val="en-GB"/>
        </w:rPr>
        <w:t>p</w:t>
      </w:r>
      <w:r w:rsidRPr="00E87DB4">
        <w:rPr>
          <w:rFonts w:cs="TimesTen-Bold"/>
          <w:bCs/>
          <w:lang w:val="en-GB"/>
        </w:rPr>
        <w:t xml:space="preserve"> = .000 value, this should never be cited! SPSS produces zero values because the probability is so small and there is a lack of decimal places. Logically, there can never be a zero probability of type 1 error. Therefore, this should be reported as </w:t>
      </w:r>
      <w:r w:rsidRPr="00E87DB4">
        <w:rPr>
          <w:rFonts w:cs="TimesTen-Bold"/>
          <w:bCs/>
          <w:i/>
          <w:lang w:val="en-GB"/>
        </w:rPr>
        <w:t>p</w:t>
      </w:r>
      <w:r w:rsidRPr="00E87DB4">
        <w:rPr>
          <w:rFonts w:cs="TimesTen-Bold"/>
          <w:bCs/>
          <w:lang w:val="en-GB"/>
        </w:rPr>
        <w:t xml:space="preserve"> &lt; .001.</w:t>
      </w:r>
    </w:p>
    <w:p w:rsidR="00ED0F7A" w:rsidRDefault="00ED0F7A" w:rsidP="00ED0F7A">
      <w:pPr>
        <w:autoSpaceDE w:val="0"/>
        <w:autoSpaceDN w:val="0"/>
        <w:adjustRightInd w:val="0"/>
        <w:spacing w:after="120"/>
        <w:rPr>
          <w:rFonts w:cs="TimesTen-Bold"/>
          <w:bCs/>
          <w:lang w:val="en-GB"/>
        </w:rPr>
      </w:pPr>
      <w:r w:rsidRPr="006A7862">
        <w:rPr>
          <w:rFonts w:cs="TimesTen-Bold"/>
          <w:bCs/>
          <w:lang w:val="en-GB"/>
        </w:rPr>
        <w:lastRenderedPageBreak/>
        <w:t xml:space="preserve">For other statistical procedures, notably regression, there will be different requirements. For multiple </w:t>
      </w:r>
      <w:proofErr w:type="gramStart"/>
      <w:r w:rsidRPr="006A7862">
        <w:rPr>
          <w:rFonts w:cs="TimesTen-Bold"/>
          <w:bCs/>
          <w:lang w:val="en-GB"/>
        </w:rPr>
        <w:t>regression</w:t>
      </w:r>
      <w:proofErr w:type="gramEnd"/>
      <w:r w:rsidRPr="006A7862">
        <w:rPr>
          <w:rFonts w:cs="TimesTen-Bold"/>
          <w:bCs/>
          <w:lang w:val="en-GB"/>
        </w:rPr>
        <w:t xml:space="preserve"> you will need to cite the overall </w:t>
      </w:r>
      <w:r w:rsidRPr="006A7862">
        <w:rPr>
          <w:rFonts w:cs="TimesTen-Bold"/>
          <w:bCs/>
          <w:i/>
          <w:lang w:val="en-GB"/>
        </w:rPr>
        <w:t>R</w:t>
      </w:r>
      <w:r w:rsidRPr="006A7862">
        <w:rPr>
          <w:rFonts w:cs="TimesTen-Bold"/>
          <w:bCs/>
          <w:i/>
          <w:vertAlign w:val="superscript"/>
          <w:lang w:val="en-GB"/>
        </w:rPr>
        <w:t>2</w:t>
      </w:r>
      <w:r w:rsidRPr="006A7862">
        <w:rPr>
          <w:rFonts w:cs="TimesTen-Bold"/>
          <w:bCs/>
          <w:lang w:val="en-GB"/>
        </w:rPr>
        <w:t xml:space="preserve">, along with relevant beta coefficients (ß) of the specific predictors, and with hierarchical models you will need to cite the change in </w:t>
      </w:r>
      <w:r w:rsidRPr="006A7862">
        <w:rPr>
          <w:rFonts w:cs="TimesTen-Bold"/>
          <w:bCs/>
          <w:i/>
          <w:lang w:val="en-GB"/>
        </w:rPr>
        <w:t>R</w:t>
      </w:r>
      <w:r w:rsidRPr="006A7862">
        <w:rPr>
          <w:rFonts w:cs="TimesTen-Bold"/>
          <w:bCs/>
          <w:i/>
          <w:vertAlign w:val="superscript"/>
          <w:lang w:val="en-GB"/>
        </w:rPr>
        <w:t>2</w:t>
      </w:r>
      <w:r w:rsidRPr="006A7862">
        <w:rPr>
          <w:rFonts w:cs="TimesTen-Bold"/>
          <w:bCs/>
          <w:lang w:val="en-GB"/>
        </w:rPr>
        <w:t xml:space="preserve"> at each level (represented as Δ</w:t>
      </w:r>
      <w:r w:rsidRPr="006A7862">
        <w:rPr>
          <w:rFonts w:cs="TimesTen-Bold"/>
          <w:bCs/>
          <w:i/>
          <w:lang w:val="en-GB"/>
        </w:rPr>
        <w:t>R</w:t>
      </w:r>
      <w:r w:rsidRPr="006A7862">
        <w:rPr>
          <w:rFonts w:cs="TimesTen-Bold"/>
          <w:bCs/>
          <w:i/>
          <w:vertAlign w:val="superscript"/>
          <w:lang w:val="en-GB"/>
        </w:rPr>
        <w:t>2</w:t>
      </w:r>
      <w:r w:rsidRPr="006A7862">
        <w:rPr>
          <w:rFonts w:cs="TimesTen-Bold"/>
          <w:bCs/>
          <w:lang w:val="en-GB"/>
        </w:rPr>
        <w:t>). You may also need to cite beta coefficients across levels. You will almost certainly need, therefore, to construct a table for these data.</w:t>
      </w:r>
      <w:r>
        <w:rPr>
          <w:rFonts w:cs="TimesTen-Bold"/>
          <w:bCs/>
          <w:lang w:val="en-GB"/>
        </w:rPr>
        <w:t xml:space="preserve"> </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rPr>
          <w:rFonts w:cs="TimesTen-Bold"/>
          <w:b/>
          <w:bCs/>
          <w:lang w:val="en-GB"/>
        </w:rPr>
      </w:pPr>
      <w:r w:rsidRPr="006A7862">
        <w:rPr>
          <w:rFonts w:cs="TimesTen-Bold"/>
          <w:b/>
          <w:bCs/>
          <w:lang w:val="en-GB"/>
        </w:rPr>
        <w:t>Tables and figures</w:t>
      </w:r>
    </w:p>
    <w:p w:rsidR="00ED0F7A" w:rsidRDefault="00ED0F7A" w:rsidP="00ED0F7A">
      <w:pPr>
        <w:autoSpaceDE w:val="0"/>
        <w:autoSpaceDN w:val="0"/>
        <w:adjustRightInd w:val="0"/>
        <w:spacing w:after="120"/>
        <w:rPr>
          <w:rFonts w:cs="TimesTen-Bold"/>
          <w:bCs/>
          <w:lang w:val="en-GB"/>
        </w:rPr>
      </w:pPr>
      <w:r w:rsidRPr="006A7862">
        <w:rPr>
          <w:rFonts w:cs="TimesTen-Bold"/>
          <w:bCs/>
          <w:lang w:val="en-GB"/>
        </w:rPr>
        <w:t xml:space="preserve">The most important thing about tables and figures is that they are </w:t>
      </w:r>
      <w:r w:rsidRPr="006A7862">
        <w:rPr>
          <w:rFonts w:cs="TimesTen-Bold"/>
          <w:bCs/>
          <w:i/>
          <w:lang w:val="en-GB"/>
        </w:rPr>
        <w:t>illustrations</w:t>
      </w:r>
      <w:r w:rsidRPr="006A7862">
        <w:rPr>
          <w:rFonts w:cs="TimesTen-Bold"/>
          <w:bCs/>
          <w:lang w:val="en-GB"/>
        </w:rPr>
        <w:t xml:space="preserve"> rather than analyses. Think of them as pictures accompanying the story. Don’t rely on them to tell the story for you! You should already have described the most important results in the text, so generally tables contain data that are too unwieldy to describe in words.</w:t>
      </w:r>
      <w:r>
        <w:rPr>
          <w:rFonts w:cs="TimesTen-Bold"/>
          <w:bCs/>
          <w:lang w:val="en-GB"/>
        </w:rPr>
        <w:t xml:space="preserve"> </w:t>
      </w:r>
      <w:r w:rsidRPr="006A7862">
        <w:rPr>
          <w:rFonts w:cs="TimesTen-Bold"/>
          <w:bCs/>
          <w:lang w:val="en-GB"/>
        </w:rPr>
        <w:t>There are no guidelines as to which content should go in a table and which into text: you need to decide this according to the size of your data set and the number of analyses.</w:t>
      </w:r>
      <w:r>
        <w:rPr>
          <w:rFonts w:cs="TimesTen-Bold"/>
          <w:bCs/>
          <w:lang w:val="en-GB"/>
        </w:rPr>
        <w:t xml:space="preserve"> The guide gives examples of effective table layout for all types of analyses including regression, factor analysis, and basic </w:t>
      </w:r>
      <w:proofErr w:type="spellStart"/>
      <w:r>
        <w:rPr>
          <w:rFonts w:cs="TimesTen-Bold"/>
          <w:bCs/>
          <w:lang w:val="en-GB"/>
        </w:rPr>
        <w:t>descriptives</w:t>
      </w:r>
      <w:proofErr w:type="spellEnd"/>
      <w:r>
        <w:rPr>
          <w:rFonts w:cs="TimesTen-Bold"/>
          <w:bCs/>
          <w:lang w:val="en-GB"/>
        </w:rPr>
        <w:t xml:space="preserve"> amongst others. This is particularly useful if you are not sure on the best way to construct your table.</w:t>
      </w:r>
    </w:p>
    <w:p w:rsidR="00ED0F7A" w:rsidRPr="006A7862" w:rsidRDefault="00ED0F7A" w:rsidP="00ED0F7A">
      <w:pPr>
        <w:autoSpaceDE w:val="0"/>
        <w:autoSpaceDN w:val="0"/>
        <w:adjustRightInd w:val="0"/>
        <w:spacing w:after="120"/>
        <w:rPr>
          <w:rFonts w:cs="TimesTen-Bold"/>
          <w:bCs/>
          <w:lang w:val="en-GB"/>
        </w:rPr>
      </w:pPr>
      <w:r>
        <w:rPr>
          <w:rFonts w:cs="TimesTen-Bold"/>
          <w:bCs/>
          <w:lang w:val="en-GB"/>
        </w:rPr>
        <w:t>However there are guidelines on how to format tables and figures. Examples of tables and instructions for their appropriate constructions are given from p. 128 of the guide. Note that APA style tables do not contain vertical lines. However, it is still possible to organise your table in a coherent informative manner. There are suggestions on p. 129 of how to use horizontal lines to split your table appropriately.</w:t>
      </w:r>
    </w:p>
    <w:p w:rsidR="00ED0F7A" w:rsidRPr="006A7862" w:rsidRDefault="00ED0F7A" w:rsidP="00ED0F7A">
      <w:pPr>
        <w:autoSpaceDE w:val="0"/>
        <w:autoSpaceDN w:val="0"/>
        <w:adjustRightInd w:val="0"/>
        <w:spacing w:after="120"/>
        <w:rPr>
          <w:rFonts w:cs="TimesTen-Bold"/>
          <w:bCs/>
          <w:lang w:val="en-GB"/>
        </w:rPr>
      </w:pPr>
      <w:r>
        <w:rPr>
          <w:rFonts w:cs="TimesTen-Bold"/>
          <w:bCs/>
          <w:lang w:val="en-GB"/>
        </w:rPr>
        <w:t xml:space="preserve">The table title goes </w:t>
      </w:r>
      <w:r>
        <w:rPr>
          <w:rFonts w:cs="TimesTen-Bold"/>
          <w:bCs/>
          <w:i/>
          <w:lang w:val="en-GB"/>
        </w:rPr>
        <w:t>above</w:t>
      </w:r>
      <w:r>
        <w:rPr>
          <w:rFonts w:cs="TimesTen-Bold"/>
          <w:bCs/>
          <w:lang w:val="en-GB"/>
        </w:rPr>
        <w:t xml:space="preserve"> the table. </w:t>
      </w:r>
      <w:r w:rsidRPr="006A7862">
        <w:rPr>
          <w:rFonts w:cs="TimesTen-Bold"/>
          <w:bCs/>
          <w:lang w:val="en-GB"/>
        </w:rPr>
        <w:t xml:space="preserve">Note </w:t>
      </w:r>
      <w:r>
        <w:rPr>
          <w:rFonts w:cs="TimesTen-Bold"/>
          <w:bCs/>
          <w:lang w:val="en-GB"/>
        </w:rPr>
        <w:t>also</w:t>
      </w:r>
      <w:r w:rsidRPr="006A7862">
        <w:rPr>
          <w:rFonts w:cs="TimesTen-Bold"/>
          <w:bCs/>
          <w:lang w:val="en-GB"/>
        </w:rPr>
        <w:t>, that when a table (or a figure) is referred to in the text,</w:t>
      </w:r>
      <w:r>
        <w:rPr>
          <w:rFonts w:cs="TimesTen-Bold"/>
          <w:bCs/>
          <w:lang w:val="en-GB"/>
        </w:rPr>
        <w:t xml:space="preserve"> say as Table 3,</w:t>
      </w:r>
      <w:r w:rsidRPr="006A7862">
        <w:rPr>
          <w:rFonts w:cs="TimesTen-Bold"/>
          <w:bCs/>
          <w:lang w:val="en-GB"/>
        </w:rPr>
        <w:t xml:space="preserve"> it is </w:t>
      </w:r>
      <w:r>
        <w:rPr>
          <w:rFonts w:cs="TimesTen-Bold"/>
          <w:bCs/>
          <w:lang w:val="en-GB"/>
        </w:rPr>
        <w:t>capitalis</w:t>
      </w:r>
      <w:r w:rsidRPr="006A7862">
        <w:rPr>
          <w:rFonts w:cs="TimesTen-Bold"/>
          <w:bCs/>
          <w:lang w:val="en-GB"/>
        </w:rPr>
        <w:t>ed.</w:t>
      </w:r>
      <w:r>
        <w:rPr>
          <w:rFonts w:cs="TimesTen-Bold"/>
          <w:bCs/>
          <w:lang w:val="en-GB"/>
        </w:rPr>
        <w:t xml:space="preserve"> Another</w:t>
      </w:r>
      <w:r w:rsidRPr="006A7862">
        <w:rPr>
          <w:rFonts w:cs="TimesTen-Bold"/>
          <w:bCs/>
          <w:lang w:val="en-GB"/>
        </w:rPr>
        <w:t xml:space="preserve"> key thing to remember about figures is that the labels and titles go </w:t>
      </w:r>
      <w:r w:rsidRPr="006A7862">
        <w:rPr>
          <w:rFonts w:cs="TimesTen-Bold"/>
          <w:bCs/>
          <w:i/>
          <w:lang w:val="en-GB"/>
        </w:rPr>
        <w:t>underneath</w:t>
      </w:r>
      <w:r w:rsidRPr="006A7862">
        <w:rPr>
          <w:rFonts w:cs="TimesTen-Bold"/>
          <w:bCs/>
          <w:lang w:val="en-GB"/>
        </w:rPr>
        <w:t xml:space="preserve"> the illustration. Also, for journal submissions in APA format, tables and figures are included in a separate section after the References, indicated in the text by the following type of entry:</w:t>
      </w:r>
    </w:p>
    <w:p w:rsidR="00ED0F7A" w:rsidRPr="006A7862" w:rsidRDefault="00ED0F7A" w:rsidP="00ED0F7A">
      <w:pPr>
        <w:autoSpaceDE w:val="0"/>
        <w:autoSpaceDN w:val="0"/>
        <w:adjustRightInd w:val="0"/>
        <w:spacing w:after="120"/>
        <w:jc w:val="center"/>
        <w:rPr>
          <w:rFonts w:cs="TimesTen-Bold"/>
          <w:bCs/>
          <w:lang w:val="en-GB"/>
        </w:rPr>
      </w:pPr>
      <w:r w:rsidRPr="006A7862">
        <w:rPr>
          <w:rFonts w:cs="TimesTen-Bold"/>
          <w:bCs/>
          <w:lang w:val="en-GB"/>
        </w:rPr>
        <w:t>------------------------</w:t>
      </w:r>
    </w:p>
    <w:p w:rsidR="00ED0F7A" w:rsidRPr="006A7862" w:rsidRDefault="00ED0F7A" w:rsidP="00ED0F7A">
      <w:pPr>
        <w:autoSpaceDE w:val="0"/>
        <w:autoSpaceDN w:val="0"/>
        <w:adjustRightInd w:val="0"/>
        <w:spacing w:after="120"/>
        <w:jc w:val="center"/>
        <w:rPr>
          <w:rFonts w:cs="TimesTen-Bold"/>
          <w:bCs/>
          <w:lang w:val="en-GB"/>
        </w:rPr>
      </w:pPr>
      <w:r w:rsidRPr="006A7862">
        <w:rPr>
          <w:rFonts w:cs="TimesTen-Bold"/>
          <w:bCs/>
          <w:lang w:val="en-GB"/>
        </w:rPr>
        <w:t>Insert Table 5 here</w:t>
      </w:r>
    </w:p>
    <w:p w:rsidR="00ED0F7A" w:rsidRPr="006A7862" w:rsidRDefault="00ED0F7A" w:rsidP="00ED0F7A">
      <w:pPr>
        <w:autoSpaceDE w:val="0"/>
        <w:autoSpaceDN w:val="0"/>
        <w:adjustRightInd w:val="0"/>
        <w:spacing w:after="120"/>
        <w:jc w:val="center"/>
        <w:rPr>
          <w:rFonts w:cs="TimesTen-Bold"/>
          <w:bCs/>
          <w:lang w:val="en-GB"/>
        </w:rPr>
      </w:pPr>
      <w:r w:rsidRPr="006A7862">
        <w:rPr>
          <w:rFonts w:cs="TimesTen-Bold"/>
          <w:bCs/>
          <w:lang w:val="en-GB"/>
        </w:rPr>
        <w:t>------------------------</w:t>
      </w:r>
    </w:p>
    <w:p w:rsidR="00ED0F7A" w:rsidRPr="00A80F52" w:rsidRDefault="00ED0F7A" w:rsidP="00ED0F7A">
      <w:pPr>
        <w:autoSpaceDE w:val="0"/>
        <w:autoSpaceDN w:val="0"/>
        <w:adjustRightInd w:val="0"/>
        <w:spacing w:after="120"/>
        <w:rPr>
          <w:rFonts w:cs="TimesTen-Bold"/>
          <w:b/>
          <w:bCs/>
          <w:lang w:val="en-GB"/>
        </w:rPr>
      </w:pPr>
      <w:r w:rsidRPr="00A80F52">
        <w:rPr>
          <w:rFonts w:cs="TimesTen-Bold"/>
          <w:b/>
          <w:bCs/>
          <w:lang w:val="en-GB"/>
        </w:rPr>
        <w:t>Use of English</w:t>
      </w:r>
    </w:p>
    <w:p w:rsidR="00ED0F7A" w:rsidRDefault="00ED0F7A" w:rsidP="00ED0F7A">
      <w:pPr>
        <w:autoSpaceDE w:val="0"/>
        <w:autoSpaceDN w:val="0"/>
        <w:adjustRightInd w:val="0"/>
        <w:spacing w:after="120"/>
        <w:rPr>
          <w:rFonts w:cs="TimesTen-Bold"/>
          <w:bCs/>
          <w:lang w:val="en-GB"/>
        </w:rPr>
      </w:pPr>
      <w:r w:rsidRPr="006A7862">
        <w:rPr>
          <w:rFonts w:cs="TimesTen-Bold"/>
          <w:bCs/>
          <w:lang w:val="en-GB"/>
        </w:rPr>
        <w:t xml:space="preserve">Much of the APA guide is devoted to minutiae relating to wording, grammar, punctuation and general editorial style. </w:t>
      </w:r>
      <w:r>
        <w:rPr>
          <w:rFonts w:cs="TimesTen-Bold"/>
          <w:bCs/>
          <w:lang w:val="en-GB"/>
        </w:rPr>
        <w:t>For example, there are sections on Continuity on Presentation of Ideas, Smoothness of Expression, Tone and Economy of Expression, which contain useful examples of how to avoid common writing errors.</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A few general tips</w:t>
      </w:r>
      <w:r>
        <w:rPr>
          <w:rFonts w:cs="TimesTen-Bold"/>
          <w:bCs/>
          <w:lang w:val="en-GB"/>
        </w:rPr>
        <w:t xml:space="preserve"> though</w:t>
      </w:r>
      <w:r w:rsidRPr="006A7862">
        <w:rPr>
          <w:rFonts w:cs="TimesTen-Bold"/>
          <w:bCs/>
          <w:lang w:val="en-GB"/>
        </w:rPr>
        <w:t>:</w:t>
      </w:r>
    </w:p>
    <w:p w:rsidR="00ED0F7A" w:rsidRPr="00AE0DD7" w:rsidRDefault="00ED0F7A" w:rsidP="00ED0F7A">
      <w:pPr>
        <w:autoSpaceDE w:val="0"/>
        <w:autoSpaceDN w:val="0"/>
        <w:adjustRightInd w:val="0"/>
        <w:spacing w:after="120"/>
        <w:rPr>
          <w:rFonts w:cs="TimesTen-Bold"/>
          <w:b/>
          <w:bCs/>
          <w:lang w:val="en-GB"/>
        </w:rPr>
      </w:pPr>
      <w:r w:rsidRPr="00AE0DD7">
        <w:rPr>
          <w:rFonts w:cs="TimesTen-Bold"/>
          <w:b/>
          <w:bCs/>
          <w:lang w:val="en-GB"/>
        </w:rPr>
        <w:t>Tense</w:t>
      </w:r>
    </w:p>
    <w:p w:rsidR="00ED0F7A" w:rsidRDefault="00ED0F7A" w:rsidP="00ED0F7A">
      <w:pPr>
        <w:autoSpaceDE w:val="0"/>
        <w:autoSpaceDN w:val="0"/>
        <w:adjustRightInd w:val="0"/>
        <w:spacing w:after="120"/>
        <w:rPr>
          <w:rFonts w:cs="TimesTen-Bold"/>
          <w:bCs/>
          <w:lang w:val="en-GB"/>
        </w:rPr>
      </w:pPr>
      <w:r>
        <w:rPr>
          <w:rFonts w:cs="TimesTen-Bold"/>
          <w:bCs/>
          <w:lang w:val="en-GB"/>
        </w:rPr>
        <w:t>It is important to use tense consistently but correctly. So for example, the past tense is appropriate for a literature review or for the description of procedures that have already taken place:</w:t>
      </w:r>
    </w:p>
    <w:p w:rsidR="00ED0F7A" w:rsidRPr="00ED415A" w:rsidRDefault="00ED0F7A" w:rsidP="00ED0F7A">
      <w:pPr>
        <w:autoSpaceDE w:val="0"/>
        <w:autoSpaceDN w:val="0"/>
        <w:adjustRightInd w:val="0"/>
        <w:spacing w:after="120"/>
        <w:rPr>
          <w:rFonts w:cs="TimesTen-Bold"/>
          <w:bCs/>
          <w:sz w:val="20"/>
          <w:lang w:val="en-GB"/>
        </w:rPr>
      </w:pPr>
      <w:r w:rsidRPr="00ED415A">
        <w:rPr>
          <w:rFonts w:cs="TimesTen-Bold"/>
          <w:bCs/>
          <w:sz w:val="20"/>
          <w:lang w:val="en-GB"/>
        </w:rPr>
        <w:t xml:space="preserve">“The researchers </w:t>
      </w:r>
      <w:r w:rsidRPr="00ED415A">
        <w:rPr>
          <w:rFonts w:cs="TimesTen-Bold"/>
          <w:bCs/>
          <w:i/>
          <w:sz w:val="20"/>
          <w:lang w:val="en-GB"/>
        </w:rPr>
        <w:t>have shown</w:t>
      </w:r>
      <w:r w:rsidRPr="00ED415A">
        <w:rPr>
          <w:rFonts w:cs="TimesTen-Bold"/>
          <w:bCs/>
          <w:sz w:val="20"/>
          <w:lang w:val="en-GB"/>
        </w:rPr>
        <w:t>…”</w:t>
      </w:r>
    </w:p>
    <w:p w:rsidR="00ED0F7A" w:rsidRDefault="00ED0F7A" w:rsidP="00ED0F7A">
      <w:pPr>
        <w:autoSpaceDE w:val="0"/>
        <w:autoSpaceDN w:val="0"/>
        <w:adjustRightInd w:val="0"/>
        <w:spacing w:after="120"/>
        <w:rPr>
          <w:rFonts w:cs="TimesTen-Bold"/>
          <w:bCs/>
          <w:lang w:val="en-GB"/>
        </w:rPr>
      </w:pPr>
      <w:r>
        <w:rPr>
          <w:rFonts w:cs="TimesTen-Bold"/>
          <w:bCs/>
          <w:lang w:val="en-GB"/>
        </w:rPr>
        <w:lastRenderedPageBreak/>
        <w:t>Use of the past tense would also be appropriate in the results section:</w:t>
      </w:r>
    </w:p>
    <w:p w:rsidR="00ED0F7A" w:rsidRPr="00ED415A" w:rsidRDefault="00ED0F7A" w:rsidP="00ED0F7A">
      <w:pPr>
        <w:autoSpaceDE w:val="0"/>
        <w:autoSpaceDN w:val="0"/>
        <w:adjustRightInd w:val="0"/>
        <w:spacing w:after="120"/>
        <w:rPr>
          <w:rFonts w:cs="TimesTen-Bold"/>
          <w:bCs/>
          <w:sz w:val="20"/>
          <w:lang w:val="en-GB"/>
        </w:rPr>
      </w:pPr>
      <w:r w:rsidRPr="00ED415A">
        <w:rPr>
          <w:rFonts w:cs="TimesTen-Bold"/>
          <w:bCs/>
          <w:sz w:val="20"/>
          <w:lang w:val="en-GB"/>
        </w:rPr>
        <w:t xml:space="preserve">“Levels of depression </w:t>
      </w:r>
      <w:r w:rsidRPr="00ED415A">
        <w:rPr>
          <w:rFonts w:cs="TimesTen-Bold"/>
          <w:bCs/>
          <w:i/>
          <w:sz w:val="20"/>
          <w:lang w:val="en-GB"/>
        </w:rPr>
        <w:t>decreased</w:t>
      </w:r>
      <w:r w:rsidRPr="00ED415A">
        <w:rPr>
          <w:rFonts w:cs="TimesTen-Bold"/>
          <w:bCs/>
          <w:sz w:val="20"/>
          <w:lang w:val="en-GB"/>
        </w:rPr>
        <w:t xml:space="preserve"> significantly following….”</w:t>
      </w:r>
    </w:p>
    <w:p w:rsidR="00ED0F7A" w:rsidRDefault="00ED0F7A" w:rsidP="00ED0F7A">
      <w:pPr>
        <w:autoSpaceDE w:val="0"/>
        <w:autoSpaceDN w:val="0"/>
        <w:adjustRightInd w:val="0"/>
        <w:spacing w:after="120"/>
        <w:rPr>
          <w:rFonts w:cs="TimesTen-Bold"/>
          <w:bCs/>
          <w:lang w:val="en-GB"/>
        </w:rPr>
      </w:pPr>
      <w:r>
        <w:rPr>
          <w:rFonts w:cs="TimesTen-Bold"/>
          <w:bCs/>
          <w:lang w:val="en-GB"/>
        </w:rPr>
        <w:t>However, in the discussion it is more usual to use the present tense to discuss the implications of findings and conclusions:</w:t>
      </w:r>
    </w:p>
    <w:p w:rsidR="00ED0F7A" w:rsidRPr="00ED415A" w:rsidRDefault="00ED0F7A" w:rsidP="00ED0F7A">
      <w:pPr>
        <w:autoSpaceDE w:val="0"/>
        <w:autoSpaceDN w:val="0"/>
        <w:adjustRightInd w:val="0"/>
        <w:spacing w:after="120"/>
        <w:rPr>
          <w:rFonts w:cs="TimesTen-Bold"/>
          <w:bCs/>
          <w:sz w:val="20"/>
          <w:lang w:val="en-GB"/>
        </w:rPr>
      </w:pPr>
      <w:r w:rsidRPr="00ED415A">
        <w:rPr>
          <w:rFonts w:cs="TimesTen-Bold"/>
          <w:bCs/>
          <w:sz w:val="20"/>
          <w:lang w:val="en-GB"/>
        </w:rPr>
        <w:t xml:space="preserve">“These findings </w:t>
      </w:r>
      <w:r w:rsidRPr="00ED415A">
        <w:rPr>
          <w:rFonts w:cs="TimesTen-Bold"/>
          <w:bCs/>
          <w:i/>
          <w:sz w:val="20"/>
          <w:lang w:val="en-GB"/>
        </w:rPr>
        <w:t>indicate</w:t>
      </w:r>
      <w:r w:rsidRPr="00ED415A">
        <w:rPr>
          <w:rFonts w:cs="TimesTen-Bold"/>
          <w:bCs/>
          <w:sz w:val="20"/>
          <w:lang w:val="en-GB"/>
        </w:rPr>
        <w:t xml:space="preserve"> that …”</w:t>
      </w:r>
    </w:p>
    <w:p w:rsidR="00ED0F7A"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rPr>
          <w:rFonts w:cs="TimesTen-Bold"/>
          <w:b/>
          <w:bCs/>
          <w:lang w:val="en-GB"/>
        </w:rPr>
      </w:pPr>
      <w:proofErr w:type="gramStart"/>
      <w:r>
        <w:rPr>
          <w:rFonts w:cs="TimesTen-Bold"/>
          <w:b/>
          <w:bCs/>
          <w:lang w:val="en-GB"/>
        </w:rPr>
        <w:t>Numbers and w</w:t>
      </w:r>
      <w:r w:rsidRPr="006A7862">
        <w:rPr>
          <w:rFonts w:cs="TimesTen-Bold"/>
          <w:b/>
          <w:bCs/>
          <w:lang w:val="en-GB"/>
        </w:rPr>
        <w:t>ords</w:t>
      </w:r>
      <w:r>
        <w:rPr>
          <w:rFonts w:cs="TimesTen-Bold"/>
          <w:b/>
          <w:bCs/>
          <w:lang w:val="en-GB"/>
        </w:rPr>
        <w:t>.</w:t>
      </w:r>
      <w:proofErr w:type="gramEnd"/>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Never use 10 words where 1 will do! Or should that be ‘ten’ and ‘one’? In fact the rule of thumb is that any number consisting of more than one digit (i.e. 10 and above) should be written as a number and single-digit numbers as words. The same is true of ordinal numbers (23</w:t>
      </w:r>
      <w:r w:rsidRPr="006A7862">
        <w:rPr>
          <w:rFonts w:cs="TimesTen-Bold"/>
          <w:bCs/>
          <w:vertAlign w:val="superscript"/>
          <w:lang w:val="en-GB"/>
        </w:rPr>
        <w:t>rd</w:t>
      </w:r>
      <w:r w:rsidRPr="006A7862">
        <w:rPr>
          <w:rFonts w:cs="TimesTen-Bold"/>
          <w:bCs/>
          <w:lang w:val="en-GB"/>
        </w:rPr>
        <w:t xml:space="preserve"> but third).</w:t>
      </w:r>
    </w:p>
    <w:p w:rsidR="00ED0F7A" w:rsidRPr="006A7862" w:rsidRDefault="00ED0F7A" w:rsidP="00ED0F7A">
      <w:pPr>
        <w:autoSpaceDE w:val="0"/>
        <w:autoSpaceDN w:val="0"/>
        <w:adjustRightInd w:val="0"/>
        <w:spacing w:after="120"/>
        <w:rPr>
          <w:rFonts w:cs="TimesTen-Bold"/>
          <w:b/>
          <w:bCs/>
          <w:lang w:val="en-GB"/>
        </w:rPr>
      </w:pPr>
      <w:proofErr w:type="gramStart"/>
      <w:r w:rsidRPr="006A7862">
        <w:rPr>
          <w:rFonts w:cs="TimesTen-Bold"/>
          <w:b/>
          <w:bCs/>
          <w:lang w:val="en-GB"/>
        </w:rPr>
        <w:t>The greengrocer’s apostrophe</w:t>
      </w:r>
      <w:r>
        <w:rPr>
          <w:rFonts w:cs="TimesTen-Bold"/>
          <w:b/>
          <w:bCs/>
          <w:lang w:val="en-GB"/>
        </w:rPr>
        <w:t>.</w:t>
      </w:r>
      <w:proofErr w:type="gramEnd"/>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Is it really </w:t>
      </w:r>
      <w:proofErr w:type="gramStart"/>
      <w:r w:rsidRPr="006A7862">
        <w:rPr>
          <w:rFonts w:cs="TimesTen-Bold"/>
          <w:bCs/>
          <w:lang w:val="en-GB"/>
        </w:rPr>
        <w:t>apple’s</w:t>
      </w:r>
      <w:proofErr w:type="gramEnd"/>
      <w:r w:rsidRPr="006A7862">
        <w:rPr>
          <w:rFonts w:cs="TimesTen-Bold"/>
          <w:bCs/>
          <w:lang w:val="en-GB"/>
        </w:rPr>
        <w:t xml:space="preserve"> and pear’s on sale today? Or might you ask ‘apple’s </w:t>
      </w:r>
      <w:r w:rsidRPr="006A7862">
        <w:rPr>
          <w:rFonts w:cs="TimesTen-Bold"/>
          <w:bCs/>
          <w:i/>
          <w:lang w:val="en-GB"/>
        </w:rPr>
        <w:t>what</w:t>
      </w:r>
      <w:r w:rsidRPr="006A7862">
        <w:rPr>
          <w:rFonts w:cs="TimesTen-Bold"/>
          <w:bCs/>
          <w:lang w:val="en-GB"/>
        </w:rPr>
        <w:t xml:space="preserve">?’  </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Indeed, there are only two occasions on which you need to </w:t>
      </w:r>
      <w:proofErr w:type="gramStart"/>
      <w:r w:rsidRPr="006A7862">
        <w:rPr>
          <w:rFonts w:cs="TimesTen-Bold"/>
          <w:bCs/>
          <w:lang w:val="en-GB"/>
        </w:rPr>
        <w:t xml:space="preserve">use </w:t>
      </w:r>
      <w:r w:rsidRPr="006A7862">
        <w:rPr>
          <w:rFonts w:cs="TimesTen-Bold"/>
          <w:bCs/>
          <w:i/>
          <w:lang w:val="en-GB"/>
        </w:rPr>
        <w:t>’s</w:t>
      </w:r>
      <w:proofErr w:type="gramEnd"/>
      <w:r w:rsidRPr="006A7862">
        <w:rPr>
          <w:rFonts w:cs="TimesTen-Bold"/>
          <w:bCs/>
          <w:lang w:val="en-GB"/>
        </w:rPr>
        <w:t xml:space="preserve"> in English.</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1) To denote </w:t>
      </w:r>
      <w:r w:rsidRPr="006A7862">
        <w:rPr>
          <w:rFonts w:cs="TimesTen-Bold"/>
          <w:bCs/>
          <w:u w:val="single"/>
          <w:lang w:val="en-GB"/>
        </w:rPr>
        <w:t>possession</w:t>
      </w:r>
      <w:r w:rsidRPr="006A7862">
        <w:rPr>
          <w:rFonts w:cs="TimesTen-Bold"/>
          <w:bCs/>
          <w:lang w:val="en-GB"/>
        </w:rPr>
        <w:t>.</w:t>
      </w:r>
    </w:p>
    <w:p w:rsidR="00ED0F7A" w:rsidRPr="006A7862" w:rsidRDefault="00ED0F7A" w:rsidP="00ED0F7A">
      <w:pPr>
        <w:autoSpaceDE w:val="0"/>
        <w:autoSpaceDN w:val="0"/>
        <w:adjustRightInd w:val="0"/>
        <w:spacing w:after="120"/>
        <w:ind w:left="720"/>
        <w:rPr>
          <w:rFonts w:cs="TimesTen-Bold"/>
          <w:bCs/>
          <w:sz w:val="20"/>
          <w:szCs w:val="20"/>
          <w:lang w:val="en-GB"/>
        </w:rPr>
      </w:pPr>
      <w:r w:rsidRPr="006A7862">
        <w:rPr>
          <w:rFonts w:cs="TimesTen-Bold"/>
          <w:bCs/>
          <w:sz w:val="20"/>
          <w:szCs w:val="20"/>
          <w:lang w:val="en-GB"/>
        </w:rPr>
        <w:t>I need the client’s address. John’s address, not Gladys’s</w:t>
      </w:r>
    </w:p>
    <w:p w:rsidR="00ED0F7A" w:rsidRPr="006A7862" w:rsidRDefault="00ED0F7A" w:rsidP="00ED0F7A">
      <w:pPr>
        <w:autoSpaceDE w:val="0"/>
        <w:autoSpaceDN w:val="0"/>
        <w:adjustRightInd w:val="0"/>
        <w:spacing w:after="120"/>
        <w:ind w:left="720"/>
        <w:rPr>
          <w:rFonts w:cs="TimesTen-Bold"/>
          <w:bCs/>
          <w:sz w:val="20"/>
          <w:szCs w:val="20"/>
          <w:lang w:val="en-GB"/>
        </w:rPr>
      </w:pPr>
      <w:r w:rsidRPr="006A7862">
        <w:rPr>
          <w:rFonts w:cs="TimesTen-Bold"/>
          <w:bCs/>
          <w:sz w:val="20"/>
          <w:szCs w:val="20"/>
          <w:lang w:val="en-GB"/>
        </w:rPr>
        <w:t>I need the clients’ addresses. Not the women’s, only the men’s.</w:t>
      </w:r>
    </w:p>
    <w:p w:rsidR="00ED0F7A" w:rsidRPr="006A7862" w:rsidRDefault="00ED0F7A" w:rsidP="00ED0F7A">
      <w:pPr>
        <w:autoSpaceDE w:val="0"/>
        <w:autoSpaceDN w:val="0"/>
        <w:adjustRightInd w:val="0"/>
        <w:spacing w:after="120"/>
        <w:rPr>
          <w:rFonts w:cs="TimesTen-Bold"/>
          <w:bCs/>
          <w:sz w:val="20"/>
          <w:szCs w:val="20"/>
          <w:lang w:val="en-GB"/>
        </w:rPr>
      </w:pPr>
    </w:p>
    <w:p w:rsidR="00ED0F7A" w:rsidRPr="00A00917" w:rsidRDefault="00ED0F7A" w:rsidP="00ED0F7A">
      <w:pPr>
        <w:autoSpaceDE w:val="0"/>
        <w:autoSpaceDN w:val="0"/>
        <w:adjustRightInd w:val="0"/>
        <w:spacing w:after="120"/>
        <w:rPr>
          <w:rFonts w:cs="TimesTen-Bold"/>
          <w:bCs/>
          <w:lang w:val="en-GB"/>
        </w:rPr>
      </w:pPr>
      <w:proofErr w:type="gramStart"/>
      <w:r w:rsidRPr="006A7862">
        <w:rPr>
          <w:rFonts w:cs="TimesTen-Bold"/>
          <w:bCs/>
          <w:lang w:val="en-GB"/>
        </w:rPr>
        <w:t xml:space="preserve">But </w:t>
      </w:r>
      <w:r w:rsidRPr="006A7862">
        <w:rPr>
          <w:rFonts w:cs="TimesTen-Bold"/>
          <w:bCs/>
          <w:i/>
          <w:lang w:val="en-GB"/>
        </w:rPr>
        <w:t>not</w:t>
      </w:r>
      <w:r w:rsidRPr="006A7862">
        <w:rPr>
          <w:rFonts w:cs="TimesTen-Bold"/>
          <w:bCs/>
          <w:lang w:val="en-GB"/>
        </w:rPr>
        <w:t xml:space="preserve"> with possessive pronouns (his, hers, </w:t>
      </w:r>
      <w:proofErr w:type="spellStart"/>
      <w:r w:rsidRPr="006A7862">
        <w:rPr>
          <w:rFonts w:cs="TimesTen-Bold"/>
          <w:bCs/>
          <w:lang w:val="en-GB"/>
        </w:rPr>
        <w:t>etc</w:t>
      </w:r>
      <w:proofErr w:type="spellEnd"/>
      <w:r w:rsidRPr="006A7862">
        <w:rPr>
          <w:rFonts w:cs="TimesTen-Bold"/>
          <w:bCs/>
          <w:lang w:val="en-GB"/>
        </w:rPr>
        <w:t>).</w:t>
      </w:r>
      <w:proofErr w:type="gramEnd"/>
    </w:p>
    <w:p w:rsidR="00ED0F7A" w:rsidRPr="006A7862" w:rsidRDefault="00ED0F7A" w:rsidP="00ED0F7A">
      <w:pPr>
        <w:autoSpaceDE w:val="0"/>
        <w:autoSpaceDN w:val="0"/>
        <w:adjustRightInd w:val="0"/>
        <w:spacing w:after="120"/>
        <w:ind w:left="720"/>
        <w:rPr>
          <w:rFonts w:cs="TimesTen-Bold"/>
          <w:bCs/>
          <w:sz w:val="20"/>
          <w:szCs w:val="20"/>
          <w:lang w:val="en-GB"/>
        </w:rPr>
      </w:pPr>
      <w:r w:rsidRPr="006A7862">
        <w:rPr>
          <w:rFonts w:cs="TimesTen-Bold"/>
          <w:bCs/>
          <w:sz w:val="20"/>
          <w:szCs w:val="20"/>
          <w:lang w:val="en-GB"/>
        </w:rPr>
        <w:t>I need the list in its entirety.</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2) To denote </w:t>
      </w:r>
      <w:r w:rsidRPr="006A7862">
        <w:rPr>
          <w:rFonts w:cs="TimesTen-Bold"/>
          <w:bCs/>
          <w:u w:val="single"/>
          <w:lang w:val="en-GB"/>
        </w:rPr>
        <w:t>omission</w:t>
      </w:r>
      <w:r w:rsidRPr="006A7862">
        <w:rPr>
          <w:rFonts w:cs="TimesTen-Bold"/>
          <w:bCs/>
          <w:lang w:val="en-GB"/>
        </w:rPr>
        <w:t>.</w:t>
      </w:r>
    </w:p>
    <w:p w:rsidR="00ED0F7A" w:rsidRPr="006A7862" w:rsidRDefault="00ED0F7A" w:rsidP="00ED0F7A">
      <w:pPr>
        <w:autoSpaceDE w:val="0"/>
        <w:autoSpaceDN w:val="0"/>
        <w:adjustRightInd w:val="0"/>
        <w:spacing w:after="120"/>
        <w:ind w:firstLine="720"/>
        <w:rPr>
          <w:rFonts w:cs="TimesTen-Bold"/>
          <w:bCs/>
          <w:sz w:val="20"/>
          <w:szCs w:val="20"/>
          <w:lang w:val="en-GB"/>
        </w:rPr>
      </w:pPr>
      <w:r w:rsidRPr="006A7862">
        <w:rPr>
          <w:rFonts w:cs="TimesTen-Bold"/>
          <w:bCs/>
          <w:sz w:val="20"/>
          <w:szCs w:val="20"/>
          <w:lang w:val="en-GB"/>
        </w:rPr>
        <w:t>Where’s the book? It’s on the table.</w:t>
      </w: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 xml:space="preserve">So the greengrocer got it wrong: you never need to </w:t>
      </w:r>
      <w:proofErr w:type="gramStart"/>
      <w:r w:rsidRPr="006A7862">
        <w:rPr>
          <w:rFonts w:cs="TimesTen-Bold"/>
          <w:bCs/>
          <w:lang w:val="en-GB"/>
        </w:rPr>
        <w:t xml:space="preserve">use </w:t>
      </w:r>
      <w:r w:rsidRPr="006A7862">
        <w:rPr>
          <w:rFonts w:cs="TimesTen-Bold"/>
          <w:bCs/>
          <w:i/>
          <w:lang w:val="en-GB"/>
        </w:rPr>
        <w:t>’s</w:t>
      </w:r>
      <w:proofErr w:type="gramEnd"/>
      <w:r w:rsidRPr="006A7862">
        <w:rPr>
          <w:rFonts w:cs="TimesTen-Bold"/>
          <w:bCs/>
          <w:lang w:val="en-GB"/>
        </w:rPr>
        <w:t xml:space="preserve"> to denote a plural! This extends even to the use of acronyms (</w:t>
      </w:r>
      <w:r w:rsidRPr="006A7862">
        <w:rPr>
          <w:rFonts w:cs="TimesTen-Bold"/>
          <w:bCs/>
          <w:i/>
          <w:lang w:val="en-GB"/>
        </w:rPr>
        <w:t>SD</w:t>
      </w:r>
      <w:r w:rsidRPr="006A7862">
        <w:rPr>
          <w:rFonts w:cs="TimesTen-Bold"/>
          <w:bCs/>
          <w:lang w:val="en-GB"/>
        </w:rPr>
        <w:t xml:space="preserve">s, not </w:t>
      </w:r>
      <w:r w:rsidRPr="006A7862">
        <w:rPr>
          <w:rFonts w:cs="TimesTen-Bold"/>
          <w:bCs/>
          <w:i/>
          <w:lang w:val="en-GB"/>
        </w:rPr>
        <w:t>SD</w:t>
      </w:r>
      <w:r w:rsidRPr="006A7862">
        <w:rPr>
          <w:rFonts w:cs="TimesTen-Bold"/>
          <w:bCs/>
          <w:lang w:val="en-GB"/>
        </w:rPr>
        <w:t xml:space="preserve">’s). </w:t>
      </w:r>
    </w:p>
    <w:p w:rsidR="00ED0F7A" w:rsidRDefault="00ED0F7A" w:rsidP="00ED0F7A">
      <w:pPr>
        <w:autoSpaceDE w:val="0"/>
        <w:autoSpaceDN w:val="0"/>
        <w:adjustRightInd w:val="0"/>
        <w:spacing w:after="120"/>
        <w:rPr>
          <w:rFonts w:cs="TimesTen-Bold"/>
          <w:b/>
          <w:bCs/>
          <w:lang w:val="en-GB"/>
        </w:rPr>
      </w:pPr>
    </w:p>
    <w:p w:rsidR="00ED0F7A" w:rsidRPr="006A7862" w:rsidRDefault="00ED0F7A" w:rsidP="00ED0F7A">
      <w:pPr>
        <w:autoSpaceDE w:val="0"/>
        <w:autoSpaceDN w:val="0"/>
        <w:adjustRightInd w:val="0"/>
        <w:spacing w:after="120"/>
        <w:rPr>
          <w:rFonts w:cs="TimesTen-Bold"/>
          <w:b/>
          <w:bCs/>
          <w:lang w:val="en-GB"/>
        </w:rPr>
      </w:pPr>
      <w:proofErr w:type="gramStart"/>
      <w:r w:rsidRPr="006A7862">
        <w:rPr>
          <w:rFonts w:cs="TimesTen-Bold"/>
          <w:b/>
          <w:bCs/>
          <w:lang w:val="en-GB"/>
        </w:rPr>
        <w:t>Other punctuation</w:t>
      </w:r>
      <w:r>
        <w:rPr>
          <w:rFonts w:cs="TimesTen-Bold"/>
          <w:b/>
          <w:bCs/>
          <w:lang w:val="en-GB"/>
        </w:rPr>
        <w:t>.</w:t>
      </w:r>
      <w:proofErr w:type="gramEnd"/>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What’s the difference between commas, full stops, semicolons and colons? It’s all a matter of degree.</w:t>
      </w:r>
    </w:p>
    <w:p w:rsidR="00ED0F7A" w:rsidRPr="006A7862" w:rsidRDefault="00ED0F7A" w:rsidP="00ED0F7A">
      <w:pPr>
        <w:autoSpaceDE w:val="0"/>
        <w:autoSpaceDN w:val="0"/>
        <w:adjustRightInd w:val="0"/>
        <w:spacing w:after="120"/>
        <w:rPr>
          <w:rFonts w:cs="TimesTen-Bold"/>
          <w:bCs/>
          <w:lang w:val="en-GB"/>
        </w:rPr>
      </w:pPr>
      <w:r w:rsidRPr="006A7862">
        <w:rPr>
          <w:rFonts w:cs="TimesTen-Bold"/>
          <w:bCs/>
          <w:i/>
          <w:lang w:val="en-GB"/>
        </w:rPr>
        <w:t>Commas</w:t>
      </w:r>
      <w:r w:rsidRPr="006A7862">
        <w:rPr>
          <w:rFonts w:cs="TimesTen-Bold"/>
          <w:bCs/>
          <w:lang w:val="en-GB"/>
        </w:rPr>
        <w:t xml:space="preserve"> are used to denote the end of a clause, at the point where you might pause slightly in speech. They also help structure your sentences for the reader, so use them particularly if there is any danger of ambiguity.</w:t>
      </w:r>
    </w:p>
    <w:p w:rsidR="00ED0F7A" w:rsidRPr="006A7862" w:rsidRDefault="00ED0F7A" w:rsidP="00ED0F7A">
      <w:pPr>
        <w:autoSpaceDE w:val="0"/>
        <w:autoSpaceDN w:val="0"/>
        <w:adjustRightInd w:val="0"/>
        <w:spacing w:after="120"/>
        <w:ind w:firstLine="720"/>
        <w:rPr>
          <w:rFonts w:cs="TimesTen-Bold"/>
          <w:bCs/>
          <w:sz w:val="20"/>
          <w:szCs w:val="20"/>
          <w:lang w:val="en-GB"/>
        </w:rPr>
      </w:pPr>
      <w:r w:rsidRPr="006A7862">
        <w:rPr>
          <w:rFonts w:cs="TimesTen-Bold"/>
          <w:bCs/>
          <w:sz w:val="20"/>
          <w:szCs w:val="20"/>
          <w:lang w:val="en-GB"/>
        </w:rPr>
        <w:t>The following day, the participants repeated the measure.</w:t>
      </w:r>
    </w:p>
    <w:p w:rsidR="00ED0F7A" w:rsidRPr="006A7862" w:rsidRDefault="00ED0F7A" w:rsidP="00ED0F7A">
      <w:pPr>
        <w:autoSpaceDE w:val="0"/>
        <w:autoSpaceDN w:val="0"/>
        <w:adjustRightInd w:val="0"/>
        <w:spacing w:after="120"/>
        <w:rPr>
          <w:rFonts w:cs="TimesTen-Bold"/>
          <w:bCs/>
          <w:lang w:val="en-GB"/>
        </w:rPr>
      </w:pPr>
      <w:r w:rsidRPr="006A7862">
        <w:rPr>
          <w:rFonts w:cs="TimesTen-Bold"/>
          <w:bCs/>
          <w:i/>
          <w:lang w:val="en-GB"/>
        </w:rPr>
        <w:t>Semicolons</w:t>
      </w:r>
      <w:r w:rsidRPr="006A7862">
        <w:rPr>
          <w:rFonts w:cs="TimesTen-Bold"/>
          <w:bCs/>
          <w:lang w:val="en-GB"/>
        </w:rPr>
        <w:t xml:space="preserve"> and </w:t>
      </w:r>
      <w:r w:rsidRPr="006A7862">
        <w:rPr>
          <w:rFonts w:cs="TimesTen-Bold"/>
          <w:bCs/>
          <w:i/>
          <w:lang w:val="en-GB"/>
        </w:rPr>
        <w:t>colons</w:t>
      </w:r>
      <w:r w:rsidRPr="006A7862">
        <w:rPr>
          <w:rFonts w:cs="TimesTen-Bold"/>
          <w:bCs/>
          <w:lang w:val="en-GB"/>
        </w:rPr>
        <w:t xml:space="preserve"> are like big commas, denoting longer pauses in spoken delivery. We often use commas instead of semicolons, which is not technically correct. </w:t>
      </w:r>
    </w:p>
    <w:p w:rsidR="00ED0F7A" w:rsidRPr="006A7862" w:rsidRDefault="00ED0F7A" w:rsidP="00ED0F7A">
      <w:pPr>
        <w:autoSpaceDE w:val="0"/>
        <w:autoSpaceDN w:val="0"/>
        <w:adjustRightInd w:val="0"/>
        <w:spacing w:after="120"/>
        <w:ind w:firstLine="720"/>
        <w:rPr>
          <w:rFonts w:cs="TimesTen-Bold"/>
          <w:bCs/>
          <w:lang w:val="en-GB"/>
        </w:rPr>
      </w:pPr>
      <w:r w:rsidRPr="006A7862">
        <w:rPr>
          <w:rFonts w:cs="TimesTen-Bold"/>
          <w:bCs/>
          <w:sz w:val="20"/>
          <w:szCs w:val="20"/>
          <w:lang w:val="en-GB"/>
        </w:rPr>
        <w:t>The participants in the first study were paid; those in the second were unpaid.</w:t>
      </w:r>
    </w:p>
    <w:p w:rsidR="00ED0F7A" w:rsidRPr="006A7862" w:rsidRDefault="00ED0F7A" w:rsidP="00ED0F7A">
      <w:pPr>
        <w:autoSpaceDE w:val="0"/>
        <w:autoSpaceDN w:val="0"/>
        <w:adjustRightInd w:val="0"/>
        <w:spacing w:after="120"/>
        <w:rPr>
          <w:rFonts w:cs="TimesTen-Bold"/>
          <w:bCs/>
          <w:sz w:val="20"/>
          <w:szCs w:val="20"/>
          <w:lang w:val="en-GB"/>
        </w:rPr>
      </w:pPr>
      <w:r w:rsidRPr="006A7862">
        <w:rPr>
          <w:rFonts w:cs="TimesTen-Bold"/>
          <w:bCs/>
          <w:lang w:val="en-GB"/>
        </w:rPr>
        <w:lastRenderedPageBreak/>
        <w:t>Technically, you can use a full stop in place of a colon, although it is usually best to avoid lots of short, snappy sentences that break up the flow of the prose.</w:t>
      </w:r>
    </w:p>
    <w:p w:rsidR="00ED0F7A" w:rsidRPr="00FB591A" w:rsidRDefault="00ED0F7A" w:rsidP="00ED0F7A">
      <w:pPr>
        <w:autoSpaceDE w:val="0"/>
        <w:autoSpaceDN w:val="0"/>
        <w:adjustRightInd w:val="0"/>
        <w:spacing w:after="120"/>
        <w:ind w:firstLine="720"/>
        <w:rPr>
          <w:rFonts w:cs="TimesTen-Bold"/>
          <w:bCs/>
          <w:sz w:val="20"/>
          <w:szCs w:val="20"/>
          <w:lang w:val="en-GB"/>
        </w:rPr>
      </w:pPr>
      <w:r w:rsidRPr="006A7862">
        <w:rPr>
          <w:rFonts w:cs="TimesTen-Bold"/>
          <w:bCs/>
          <w:sz w:val="20"/>
          <w:szCs w:val="20"/>
          <w:lang w:val="en-GB"/>
        </w:rPr>
        <w:t>There were two studies: the first involved payment, but not the second.</w:t>
      </w:r>
    </w:p>
    <w:p w:rsidR="00ED0F7A" w:rsidRDefault="00ED0F7A" w:rsidP="00ED0F7A">
      <w:pPr>
        <w:autoSpaceDE w:val="0"/>
        <w:autoSpaceDN w:val="0"/>
        <w:adjustRightInd w:val="0"/>
        <w:spacing w:after="120"/>
        <w:rPr>
          <w:rFonts w:cs="TimesTen-Bold"/>
          <w:bCs/>
          <w:lang w:val="en-GB"/>
        </w:rPr>
      </w:pPr>
      <w:r w:rsidRPr="006A7862">
        <w:rPr>
          <w:rFonts w:cs="TimesTen-Bold"/>
          <w:bCs/>
          <w:lang w:val="en-GB"/>
        </w:rPr>
        <w:t xml:space="preserve">A sentence is not defined by its length. It depends entirely on your general prose style. I’ve been keeping it short and snappy up to now, but I’m liable to lapse into long-windedness at any moment and who knows, </w:t>
      </w:r>
      <w:proofErr w:type="spellStart"/>
      <w:r w:rsidRPr="006A7862">
        <w:rPr>
          <w:rFonts w:cs="TimesTen-Bold"/>
          <w:bCs/>
          <w:lang w:val="en-GB"/>
        </w:rPr>
        <w:t>out come</w:t>
      </w:r>
      <w:proofErr w:type="spellEnd"/>
      <w:r w:rsidRPr="006A7862">
        <w:rPr>
          <w:rFonts w:cs="TimesTen-Bold"/>
          <w:bCs/>
          <w:lang w:val="en-GB"/>
        </w:rPr>
        <w:t xml:space="preserve"> the semicolons and colons and all other kinds of paraphernalia, and then…</w:t>
      </w:r>
    </w:p>
    <w:p w:rsidR="00ED0F7A" w:rsidRPr="005F0B32" w:rsidRDefault="00ED0F7A" w:rsidP="00ED0F7A">
      <w:pPr>
        <w:autoSpaceDE w:val="0"/>
        <w:autoSpaceDN w:val="0"/>
        <w:adjustRightInd w:val="0"/>
        <w:spacing w:after="120"/>
        <w:rPr>
          <w:rFonts w:cs="TimesTen-Bold"/>
          <w:b/>
          <w:bCs/>
          <w:lang w:val="en-GB"/>
        </w:rPr>
      </w:pPr>
      <w:r>
        <w:rPr>
          <w:rFonts w:cs="TimesTen-Bold"/>
          <w:b/>
          <w:bCs/>
          <w:lang w:val="en-GB"/>
        </w:rPr>
        <w:t>Bias in</w:t>
      </w:r>
      <w:r w:rsidRPr="005F0B32">
        <w:rPr>
          <w:rFonts w:cs="TimesTen-Bold"/>
          <w:b/>
          <w:bCs/>
          <w:lang w:val="en-GB"/>
        </w:rPr>
        <w:t xml:space="preserve"> language</w:t>
      </w:r>
    </w:p>
    <w:p w:rsidR="00ED0F7A" w:rsidRPr="005F0B32" w:rsidRDefault="00ED0F7A" w:rsidP="00ED0F7A">
      <w:pPr>
        <w:autoSpaceDE w:val="0"/>
        <w:autoSpaceDN w:val="0"/>
        <w:adjustRightInd w:val="0"/>
        <w:spacing w:after="120"/>
        <w:rPr>
          <w:rFonts w:cs="TimesTen-Bold"/>
          <w:bCs/>
          <w:lang w:val="en-GB"/>
        </w:rPr>
      </w:pPr>
      <w:r>
        <w:rPr>
          <w:rFonts w:cs="TimesTen-Bold"/>
          <w:bCs/>
          <w:lang w:val="en-GB"/>
        </w:rPr>
        <w:t xml:space="preserve">There are detailed guidelines on p. 70 – 77 on how to reduce bias in language. Common areas for bias include labels such as ‘borderline’ or ‘at risk’. These terms should be more carefully explained in the following way, such as ‘people with borderline personality disorder’ or ‘children at risk from school exclusion’. </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jc w:val="center"/>
        <w:rPr>
          <w:rFonts w:cs="TimesTen-Bold"/>
          <w:b/>
          <w:bCs/>
          <w:lang w:val="en-GB"/>
        </w:rPr>
      </w:pPr>
      <w:r w:rsidRPr="006A7862">
        <w:rPr>
          <w:rFonts w:cs="TimesTen-Bold"/>
          <w:b/>
          <w:bCs/>
          <w:lang w:val="en-GB"/>
        </w:rPr>
        <w:t>References</w:t>
      </w:r>
    </w:p>
    <w:p w:rsidR="00ED0F7A" w:rsidRDefault="00ED0F7A" w:rsidP="00ED0F7A">
      <w:pPr>
        <w:autoSpaceDE w:val="0"/>
        <w:autoSpaceDN w:val="0"/>
        <w:adjustRightInd w:val="0"/>
        <w:spacing w:after="120"/>
        <w:rPr>
          <w:rFonts w:cs="TimesTen-Bold"/>
          <w:bCs/>
          <w:lang w:val="en-GB"/>
        </w:rPr>
      </w:pPr>
      <w:proofErr w:type="gramStart"/>
      <w:r w:rsidRPr="006A7862">
        <w:rPr>
          <w:rFonts w:cs="TimesTen-Bold"/>
          <w:bCs/>
          <w:lang w:val="en-GB"/>
        </w:rPr>
        <w:t>APA (2001).</w:t>
      </w:r>
      <w:proofErr w:type="gramEnd"/>
      <w:r w:rsidRPr="006A7862">
        <w:rPr>
          <w:rFonts w:cs="TimesTen-Bold"/>
          <w:bCs/>
          <w:lang w:val="en-GB"/>
        </w:rPr>
        <w:t xml:space="preserve"> </w:t>
      </w:r>
      <w:r w:rsidRPr="006A7862">
        <w:rPr>
          <w:rFonts w:cs="TimesTen-Bold"/>
          <w:bCs/>
          <w:i/>
          <w:lang w:val="en-GB"/>
        </w:rPr>
        <w:t>Publication manual of the American Psychological Association</w:t>
      </w:r>
      <w:r w:rsidRPr="006A7862">
        <w:rPr>
          <w:rFonts w:cs="TimesTen-Bold"/>
          <w:bCs/>
          <w:lang w:val="en-GB"/>
        </w:rPr>
        <w:t xml:space="preserve"> (5th </w:t>
      </w:r>
      <w:proofErr w:type="gramStart"/>
      <w:r w:rsidRPr="006A7862">
        <w:rPr>
          <w:rFonts w:cs="TimesTen-Bold"/>
          <w:bCs/>
          <w:lang w:val="en-GB"/>
        </w:rPr>
        <w:t>ed</w:t>
      </w:r>
      <w:proofErr w:type="gramEnd"/>
      <w:r w:rsidRPr="006A7862">
        <w:rPr>
          <w:rFonts w:cs="TimesTen-Bold"/>
          <w:bCs/>
          <w:lang w:val="en-GB"/>
        </w:rPr>
        <w:t>.). Washington, DC: American Psychological Association.</w:t>
      </w:r>
    </w:p>
    <w:p w:rsidR="00ED0F7A" w:rsidRPr="006A7862" w:rsidRDefault="00ED0F7A" w:rsidP="00ED0F7A">
      <w:pPr>
        <w:autoSpaceDE w:val="0"/>
        <w:autoSpaceDN w:val="0"/>
        <w:adjustRightInd w:val="0"/>
        <w:spacing w:after="120"/>
        <w:rPr>
          <w:rFonts w:cs="TimesTen-Bold"/>
          <w:bCs/>
          <w:lang w:val="en-GB"/>
        </w:rPr>
      </w:pPr>
      <w:proofErr w:type="gramStart"/>
      <w:r>
        <w:rPr>
          <w:rFonts w:cs="TimesTen-Bold"/>
          <w:bCs/>
          <w:lang w:val="en-GB"/>
        </w:rPr>
        <w:t>APA (2009</w:t>
      </w:r>
      <w:r w:rsidRPr="006A7862">
        <w:rPr>
          <w:rFonts w:cs="TimesTen-Bold"/>
          <w:bCs/>
          <w:lang w:val="en-GB"/>
        </w:rPr>
        <w:t>).</w:t>
      </w:r>
      <w:proofErr w:type="gramEnd"/>
      <w:r w:rsidRPr="006A7862">
        <w:rPr>
          <w:rFonts w:cs="TimesTen-Bold"/>
          <w:bCs/>
          <w:lang w:val="en-GB"/>
        </w:rPr>
        <w:t xml:space="preserve"> </w:t>
      </w:r>
      <w:r w:rsidRPr="006A7862">
        <w:rPr>
          <w:rFonts w:cs="TimesTen-Bold"/>
          <w:bCs/>
          <w:i/>
          <w:lang w:val="en-GB"/>
        </w:rPr>
        <w:t>Publication manual of the American Psychological Association</w:t>
      </w:r>
      <w:r>
        <w:rPr>
          <w:rFonts w:cs="TimesTen-Bold"/>
          <w:bCs/>
          <w:lang w:val="en-GB"/>
        </w:rPr>
        <w:t xml:space="preserve"> (6</w:t>
      </w:r>
      <w:r w:rsidRPr="006A7862">
        <w:rPr>
          <w:rFonts w:cs="TimesTen-Bold"/>
          <w:bCs/>
          <w:lang w:val="en-GB"/>
        </w:rPr>
        <w:t xml:space="preserve">th </w:t>
      </w:r>
      <w:proofErr w:type="gramStart"/>
      <w:r w:rsidRPr="006A7862">
        <w:rPr>
          <w:rFonts w:cs="TimesTen-Bold"/>
          <w:bCs/>
          <w:lang w:val="en-GB"/>
        </w:rPr>
        <w:t>ed</w:t>
      </w:r>
      <w:proofErr w:type="gramEnd"/>
      <w:r w:rsidRPr="006A7862">
        <w:rPr>
          <w:rFonts w:cs="TimesTen-Bold"/>
          <w:bCs/>
          <w:lang w:val="en-GB"/>
        </w:rPr>
        <w:t>.). Washington, DC: American Psychological Association.</w:t>
      </w:r>
    </w:p>
    <w:p w:rsidR="00ED0F7A" w:rsidRPr="006A7862" w:rsidRDefault="00ED0F7A" w:rsidP="00ED0F7A">
      <w:pPr>
        <w:autoSpaceDE w:val="0"/>
        <w:autoSpaceDN w:val="0"/>
        <w:adjustRightInd w:val="0"/>
        <w:spacing w:after="120"/>
        <w:rPr>
          <w:rFonts w:cs="TimesTen-Bold"/>
          <w:bCs/>
          <w:lang w:val="en-GB"/>
        </w:rPr>
      </w:pPr>
    </w:p>
    <w:p w:rsidR="00ED0F7A" w:rsidRDefault="00ED0F7A" w:rsidP="00ED0F7A">
      <w:pPr>
        <w:autoSpaceDE w:val="0"/>
        <w:autoSpaceDN w:val="0"/>
        <w:adjustRightInd w:val="0"/>
        <w:spacing w:after="120"/>
        <w:rPr>
          <w:rFonts w:cs="TimesTen-Bold"/>
          <w:bCs/>
          <w:lang w:val="en-GB"/>
        </w:rPr>
      </w:pPr>
      <w:r w:rsidRPr="006A7862">
        <w:rPr>
          <w:rFonts w:cs="TimesTen-Bold"/>
          <w:bCs/>
          <w:lang w:val="en-GB"/>
        </w:rPr>
        <w:t xml:space="preserve">For general tips on writing style, see also Robert Sternberg’s </w:t>
      </w:r>
      <w:r w:rsidRPr="006A7862">
        <w:rPr>
          <w:rFonts w:cs="TimesTen-Bold"/>
          <w:bCs/>
          <w:i/>
          <w:lang w:val="en-GB"/>
        </w:rPr>
        <w:t>The Psychologist’s Companion: A Guide to Scientific Writing for Students and Researchers</w:t>
      </w:r>
      <w:r w:rsidRPr="006A7862">
        <w:rPr>
          <w:rFonts w:cs="TimesTen-Bold"/>
          <w:bCs/>
          <w:lang w:val="en-GB"/>
        </w:rPr>
        <w:t xml:space="preserve"> (3</w:t>
      </w:r>
      <w:r w:rsidRPr="006A7862">
        <w:rPr>
          <w:rFonts w:cs="TimesTen-Bold"/>
          <w:bCs/>
          <w:vertAlign w:val="superscript"/>
          <w:lang w:val="en-GB"/>
        </w:rPr>
        <w:t>rd</w:t>
      </w:r>
      <w:r w:rsidRPr="006A7862">
        <w:rPr>
          <w:rFonts w:cs="TimesTen-Bold"/>
          <w:bCs/>
          <w:lang w:val="en-GB"/>
        </w:rPr>
        <w:t xml:space="preserve"> edition, Cambridge University Press, 2003).</w:t>
      </w:r>
    </w:p>
    <w:p w:rsidR="00ED0F7A" w:rsidRPr="006A7862" w:rsidRDefault="00ED0F7A" w:rsidP="00ED0F7A">
      <w:pPr>
        <w:autoSpaceDE w:val="0"/>
        <w:autoSpaceDN w:val="0"/>
        <w:adjustRightInd w:val="0"/>
        <w:spacing w:after="120"/>
        <w:jc w:val="center"/>
        <w:rPr>
          <w:rFonts w:cs="TimesTen-Bold"/>
          <w:b/>
          <w:bCs/>
          <w:lang w:val="en-GB"/>
        </w:rPr>
      </w:pPr>
      <w:r w:rsidRPr="006A7862">
        <w:rPr>
          <w:rFonts w:cs="TimesTen-Bold"/>
          <w:bCs/>
          <w:lang w:val="en-GB"/>
        </w:rPr>
        <w:br w:type="page"/>
      </w:r>
      <w:r>
        <w:rPr>
          <w:rFonts w:cs="TimesTen-Bold"/>
          <w:b/>
          <w:bCs/>
          <w:lang w:val="en-GB"/>
        </w:rPr>
        <w:lastRenderedPageBreak/>
        <w:t>Appendix</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autoSpaceDE w:val="0"/>
        <w:autoSpaceDN w:val="0"/>
        <w:adjustRightInd w:val="0"/>
        <w:spacing w:after="120"/>
        <w:rPr>
          <w:rFonts w:cs="TimesTen-Bold"/>
          <w:bCs/>
          <w:lang w:val="en-GB"/>
        </w:rPr>
      </w:pPr>
      <w:r w:rsidRPr="006A7862">
        <w:rPr>
          <w:rFonts w:cs="TimesTen-Bold"/>
          <w:bCs/>
          <w:lang w:val="en-GB"/>
        </w:rPr>
        <w:t>Statistical abbreviations and styles (from APA, 2001)</w:t>
      </w:r>
    </w:p>
    <w:p w:rsidR="00ED0F7A" w:rsidRDefault="00ED0F7A" w:rsidP="00ED0F7A">
      <w:pPr>
        <w:tabs>
          <w:tab w:val="left" w:pos="1188"/>
        </w:tabs>
        <w:autoSpaceDE w:val="0"/>
        <w:autoSpaceDN w:val="0"/>
        <w:adjustRightInd w:val="0"/>
        <w:spacing w:after="120"/>
        <w:ind w:left="1180" w:hanging="1180"/>
        <w:rPr>
          <w:rFonts w:cs="TimesTen-Bold"/>
          <w:bCs/>
          <w:lang w:val="en-GB"/>
        </w:rPr>
      </w:pPr>
      <w:proofErr w:type="gramStart"/>
      <w:r>
        <w:rPr>
          <w:rFonts w:cs="TimesTen-Bold"/>
          <w:bCs/>
          <w:i/>
          <w:lang w:val="en-GB"/>
        </w:rPr>
        <w:t>α</w:t>
      </w:r>
      <w:proofErr w:type="gramEnd"/>
      <w:r>
        <w:rPr>
          <w:rFonts w:cs="TimesTen-Bold"/>
          <w:bCs/>
          <w:i/>
          <w:lang w:val="en-GB"/>
        </w:rPr>
        <w:tab/>
      </w:r>
      <w:r>
        <w:rPr>
          <w:rFonts w:cs="TimesTen-Bold"/>
          <w:bCs/>
          <w:i/>
          <w:lang w:val="en-GB"/>
        </w:rPr>
        <w:tab/>
      </w:r>
      <w:r w:rsidRPr="00566BE8">
        <w:rPr>
          <w:rFonts w:cs="TimesTen-Bold"/>
          <w:bCs/>
          <w:lang w:val="en-GB"/>
        </w:rPr>
        <w:t>alpha</w:t>
      </w:r>
      <w:r>
        <w:rPr>
          <w:rFonts w:cs="TimesTen-Bold"/>
          <w:bCs/>
          <w:lang w:val="en-GB"/>
        </w:rPr>
        <w:t xml:space="preserve">, the probability of making a Type I error, </w:t>
      </w:r>
      <w:proofErr w:type="spellStart"/>
      <w:r>
        <w:rPr>
          <w:rFonts w:cs="TimesTen-Bold"/>
          <w:bCs/>
          <w:lang w:val="en-GB"/>
        </w:rPr>
        <w:t>Cronbachs</w:t>
      </w:r>
      <w:proofErr w:type="spellEnd"/>
      <w:r>
        <w:rPr>
          <w:rFonts w:cs="TimesTen-Bold"/>
          <w:bCs/>
          <w:lang w:val="en-GB"/>
        </w:rPr>
        <w:t xml:space="preserve"> alpha for internal consistency (reliability)</w:t>
      </w:r>
    </w:p>
    <w:p w:rsidR="00ED0F7A" w:rsidRPr="00566BE8" w:rsidRDefault="00ED0F7A" w:rsidP="00ED0F7A">
      <w:pPr>
        <w:tabs>
          <w:tab w:val="left" w:pos="1188"/>
        </w:tabs>
        <w:autoSpaceDE w:val="0"/>
        <w:autoSpaceDN w:val="0"/>
        <w:adjustRightInd w:val="0"/>
        <w:spacing w:after="120"/>
        <w:ind w:left="1180" w:hanging="1180"/>
        <w:rPr>
          <w:rFonts w:cs="TimesTen-Bold"/>
          <w:bCs/>
          <w:lang w:val="en-GB"/>
        </w:rPr>
      </w:pPr>
      <w:proofErr w:type="gramStart"/>
      <w:r>
        <w:rPr>
          <w:rFonts w:cs="TimesTen-Bold"/>
          <w:bCs/>
          <w:i/>
          <w:lang w:val="en-GB"/>
        </w:rPr>
        <w:t>β</w:t>
      </w:r>
      <w:proofErr w:type="gramEnd"/>
      <w:r>
        <w:rPr>
          <w:rFonts w:cs="TimesTen-Bold"/>
          <w:bCs/>
          <w:i/>
          <w:lang w:val="en-GB"/>
        </w:rPr>
        <w:tab/>
      </w:r>
      <w:r>
        <w:rPr>
          <w:rFonts w:cs="TimesTen-Bold"/>
          <w:bCs/>
          <w:lang w:val="en-GB"/>
        </w:rPr>
        <w:t>Beta, probability of making a Type II error, also values of regression coefficients.</w:t>
      </w:r>
    </w:p>
    <w:p w:rsidR="00ED0F7A" w:rsidRDefault="00ED0F7A" w:rsidP="00ED0F7A">
      <w:pPr>
        <w:tabs>
          <w:tab w:val="left" w:pos="1188"/>
        </w:tabs>
        <w:autoSpaceDE w:val="0"/>
        <w:autoSpaceDN w:val="0"/>
        <w:adjustRightInd w:val="0"/>
        <w:spacing w:after="120"/>
        <w:rPr>
          <w:rFonts w:cs="TimesTen-Bold"/>
          <w:bCs/>
          <w:lang w:val="en-GB"/>
        </w:rPr>
      </w:pPr>
      <w:proofErr w:type="gramStart"/>
      <w:r>
        <w:rPr>
          <w:rFonts w:cs="TimesTen-Bold"/>
          <w:bCs/>
          <w:i/>
          <w:lang w:val="en-GB"/>
        </w:rPr>
        <w:t>δ</w:t>
      </w:r>
      <w:proofErr w:type="gramEnd"/>
      <w:r w:rsidRPr="006A7862">
        <w:rPr>
          <w:rFonts w:cs="TimesTen-Bold"/>
          <w:bCs/>
          <w:i/>
          <w:lang w:val="en-GB"/>
        </w:rPr>
        <w:tab/>
      </w:r>
      <w:r w:rsidRPr="006A7862">
        <w:rPr>
          <w:rFonts w:cs="TimesTen-Bold"/>
          <w:bCs/>
          <w:lang w:val="en-GB"/>
        </w:rPr>
        <w:t>Cohen’s measure of effect size</w:t>
      </w:r>
    </w:p>
    <w:p w:rsidR="00ED0F7A" w:rsidRPr="006A7862" w:rsidRDefault="00ED0F7A" w:rsidP="00ED0F7A">
      <w:pPr>
        <w:tabs>
          <w:tab w:val="left" w:pos="1188"/>
        </w:tabs>
        <w:autoSpaceDE w:val="0"/>
        <w:autoSpaceDN w:val="0"/>
        <w:adjustRightInd w:val="0"/>
        <w:spacing w:after="120"/>
        <w:rPr>
          <w:rFonts w:cs="TimesTen-Bold"/>
          <w:bCs/>
          <w:lang w:val="en-GB"/>
        </w:rPr>
      </w:pPr>
      <w:r>
        <w:rPr>
          <w:rFonts w:cs="TimesTen-Bold"/>
          <w:bCs/>
          <w:lang w:val="en-GB"/>
        </w:rPr>
        <w:t>Δ</w:t>
      </w:r>
      <w:r>
        <w:rPr>
          <w:rFonts w:cs="TimesTen-Bold"/>
          <w:bCs/>
          <w:lang w:val="en-GB"/>
        </w:rPr>
        <w:tab/>
        <w:t>Delta or difference, meaning change</w:t>
      </w:r>
    </w:p>
    <w:p w:rsidR="00ED0F7A" w:rsidRPr="006A7862" w:rsidRDefault="00ED0F7A" w:rsidP="00ED0F7A">
      <w:pPr>
        <w:tabs>
          <w:tab w:val="left" w:pos="1188"/>
        </w:tabs>
        <w:autoSpaceDE w:val="0"/>
        <w:autoSpaceDN w:val="0"/>
        <w:adjustRightInd w:val="0"/>
        <w:spacing w:after="120"/>
        <w:rPr>
          <w:rFonts w:cs="TimesTen-Bold"/>
          <w:bCs/>
          <w:lang w:val="en-GB"/>
        </w:rPr>
      </w:pPr>
      <w:proofErr w:type="spellStart"/>
      <w:proofErr w:type="gramStart"/>
      <w:r w:rsidRPr="006A7862">
        <w:rPr>
          <w:rFonts w:cs="TimesTen-Bold"/>
          <w:bCs/>
          <w:i/>
          <w:lang w:val="en-GB"/>
        </w:rPr>
        <w:t>df</w:t>
      </w:r>
      <w:proofErr w:type="spellEnd"/>
      <w:proofErr w:type="gramEnd"/>
      <w:r w:rsidRPr="006A7862">
        <w:rPr>
          <w:rFonts w:cs="TimesTen-Bold"/>
          <w:bCs/>
          <w:i/>
          <w:lang w:val="en-GB"/>
        </w:rPr>
        <w:tab/>
      </w:r>
      <w:r w:rsidRPr="006A7862">
        <w:rPr>
          <w:rFonts w:cs="TimesTen-Bold"/>
          <w:bCs/>
          <w:lang w:val="en-GB"/>
        </w:rPr>
        <w:t>Degrees of freedom</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F</w:t>
      </w:r>
      <w:r w:rsidRPr="006A7862">
        <w:rPr>
          <w:rFonts w:cs="TimesTen-Bold"/>
          <w:bCs/>
          <w:i/>
          <w:lang w:val="en-GB"/>
        </w:rPr>
        <w:tab/>
      </w:r>
      <w:r w:rsidRPr="006A7862">
        <w:rPr>
          <w:rFonts w:cs="TimesTen-Bold"/>
          <w:bCs/>
          <w:lang w:val="en-GB"/>
        </w:rPr>
        <w:t xml:space="preserve">Fisher’s </w:t>
      </w:r>
      <w:r w:rsidRPr="006A7862">
        <w:rPr>
          <w:rFonts w:cs="TimesTen-Bold"/>
          <w:bCs/>
          <w:i/>
          <w:lang w:val="en-GB"/>
        </w:rPr>
        <w:t>F</w:t>
      </w:r>
      <w:r w:rsidRPr="006A7862">
        <w:rPr>
          <w:rFonts w:cs="TimesTen-Bold"/>
          <w:bCs/>
          <w:lang w:val="en-GB"/>
        </w:rPr>
        <w:t xml:space="preserve"> ratio (for use with ANOVA etc.)</w:t>
      </w:r>
      <w:proofErr w:type="gramEnd"/>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H</w:t>
      </w:r>
      <w:r w:rsidRPr="006A7862">
        <w:rPr>
          <w:rFonts w:cs="TimesTen-Bold"/>
          <w:bCs/>
          <w:i/>
          <w:lang w:val="en-GB"/>
        </w:rPr>
        <w:tab/>
      </w:r>
      <w:r w:rsidRPr="006A7862">
        <w:rPr>
          <w:rFonts w:cs="TimesTen-Bold"/>
          <w:bCs/>
          <w:lang w:val="en-GB"/>
        </w:rPr>
        <w:t>Hypothesis</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H</w:t>
      </w:r>
      <w:r w:rsidRPr="006A7862">
        <w:rPr>
          <w:rFonts w:cs="TimesTen-Bold"/>
          <w:bCs/>
          <w:i/>
          <w:vertAlign w:val="subscript"/>
          <w:lang w:val="en-GB"/>
        </w:rPr>
        <w:t>0</w:t>
      </w:r>
      <w:r w:rsidRPr="006A7862">
        <w:rPr>
          <w:rFonts w:cs="TimesTen-Bold"/>
          <w:bCs/>
          <w:i/>
          <w:vertAlign w:val="subscript"/>
          <w:lang w:val="en-GB"/>
        </w:rPr>
        <w:tab/>
      </w:r>
      <w:r w:rsidRPr="006A7862">
        <w:rPr>
          <w:rFonts w:cs="TimesTen-Bold"/>
          <w:bCs/>
          <w:lang w:val="en-GB"/>
        </w:rPr>
        <w:t>Null hypothesis</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H</w:t>
      </w:r>
      <w:r w:rsidRPr="006A7862">
        <w:rPr>
          <w:rFonts w:cs="TimesTen-Bold"/>
          <w:bCs/>
          <w:i/>
          <w:vertAlign w:val="subscript"/>
          <w:lang w:val="en-GB"/>
        </w:rPr>
        <w:t>1</w:t>
      </w:r>
      <w:r w:rsidRPr="006A7862">
        <w:rPr>
          <w:rFonts w:cs="TimesTen-Bold"/>
          <w:bCs/>
          <w:i/>
          <w:lang w:val="en-GB"/>
        </w:rPr>
        <w:tab/>
      </w:r>
      <w:r w:rsidRPr="006A7862">
        <w:rPr>
          <w:rFonts w:cs="TimesTen-Bold"/>
          <w:bCs/>
          <w:lang w:val="en-GB"/>
        </w:rPr>
        <w:t>Alternative hypothesis</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M</w:t>
      </w:r>
      <w:r w:rsidRPr="006A7862">
        <w:rPr>
          <w:rFonts w:cs="TimesTen-Bold"/>
          <w:bCs/>
          <w:i/>
          <w:lang w:val="en-GB"/>
        </w:rPr>
        <w:tab/>
      </w:r>
      <w:r w:rsidRPr="006A7862">
        <w:rPr>
          <w:rFonts w:cs="TimesTen-Bold"/>
          <w:bCs/>
          <w:lang w:val="en-GB"/>
        </w:rPr>
        <w:t>Mean (arithmetic average)</w:t>
      </w:r>
    </w:p>
    <w:p w:rsidR="00ED0F7A" w:rsidRPr="006A7862" w:rsidRDefault="00ED0F7A" w:rsidP="00ED0F7A">
      <w:pPr>
        <w:tabs>
          <w:tab w:val="left" w:pos="1188"/>
        </w:tabs>
        <w:autoSpaceDE w:val="0"/>
        <w:autoSpaceDN w:val="0"/>
        <w:adjustRightInd w:val="0"/>
        <w:spacing w:after="120"/>
        <w:rPr>
          <w:rFonts w:cs="TimesTen-Bold"/>
          <w:bCs/>
          <w:lang w:val="en-GB"/>
        </w:rPr>
      </w:pPr>
      <w:proofErr w:type="spellStart"/>
      <w:r w:rsidRPr="006A7862">
        <w:rPr>
          <w:rFonts w:cs="TimesTen-Bold"/>
          <w:bCs/>
          <w:i/>
          <w:lang w:val="en-GB"/>
        </w:rPr>
        <w:t>Mdn</w:t>
      </w:r>
      <w:proofErr w:type="spellEnd"/>
      <w:r w:rsidRPr="006A7862">
        <w:rPr>
          <w:rFonts w:cs="TimesTen-Bold"/>
          <w:bCs/>
          <w:i/>
          <w:lang w:val="en-GB"/>
        </w:rPr>
        <w:tab/>
      </w:r>
      <w:r w:rsidRPr="006A7862">
        <w:rPr>
          <w:rFonts w:cs="TimesTen-Bold"/>
          <w:bCs/>
          <w:lang w:val="en-GB"/>
        </w:rPr>
        <w:t>Median</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MS</w:t>
      </w:r>
      <w:r w:rsidRPr="006A7862">
        <w:rPr>
          <w:rFonts w:cs="TimesTen-Bold"/>
          <w:bCs/>
          <w:i/>
          <w:lang w:val="en-GB"/>
        </w:rPr>
        <w:tab/>
      </w:r>
      <w:r w:rsidRPr="006A7862">
        <w:rPr>
          <w:rFonts w:cs="TimesTen-Bold"/>
          <w:bCs/>
          <w:lang w:val="en-GB"/>
        </w:rPr>
        <w:t>Mean square</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MSE</w:t>
      </w:r>
      <w:r w:rsidRPr="006A7862">
        <w:rPr>
          <w:rFonts w:cs="TimesTen-Bold"/>
          <w:bCs/>
          <w:i/>
          <w:lang w:val="en-GB"/>
        </w:rPr>
        <w:tab/>
      </w:r>
      <w:r w:rsidRPr="006A7862">
        <w:rPr>
          <w:rFonts w:cs="TimesTen-Bold"/>
          <w:bCs/>
          <w:lang w:val="en-GB"/>
        </w:rPr>
        <w:t>Mean square error</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n</w:t>
      </w:r>
      <w:proofErr w:type="gramEnd"/>
      <w:r w:rsidRPr="006A7862">
        <w:rPr>
          <w:rFonts w:cs="TimesTen-Bold"/>
          <w:bCs/>
          <w:i/>
          <w:lang w:val="en-GB"/>
        </w:rPr>
        <w:tab/>
      </w:r>
      <w:r w:rsidRPr="006A7862">
        <w:rPr>
          <w:rFonts w:cs="TimesTen-Bold"/>
          <w:bCs/>
          <w:lang w:val="en-GB"/>
        </w:rPr>
        <w:t>Number in a subsample</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N</w:t>
      </w:r>
      <w:r w:rsidRPr="006A7862">
        <w:rPr>
          <w:rFonts w:cs="TimesTen-Bold"/>
          <w:bCs/>
          <w:i/>
          <w:lang w:val="en-GB"/>
        </w:rPr>
        <w:tab/>
      </w:r>
      <w:r w:rsidRPr="006A7862">
        <w:rPr>
          <w:rFonts w:cs="TimesTen-Bold"/>
          <w:bCs/>
          <w:lang w:val="en-GB"/>
        </w:rPr>
        <w:t>Total number in a sample</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ns</w:t>
      </w:r>
      <w:proofErr w:type="gramEnd"/>
      <w:r w:rsidRPr="006A7862">
        <w:rPr>
          <w:rFonts w:cs="TimesTen-Bold"/>
          <w:bCs/>
          <w:i/>
          <w:lang w:val="en-GB"/>
        </w:rPr>
        <w:tab/>
      </w:r>
      <w:r w:rsidRPr="006A7862">
        <w:rPr>
          <w:rFonts w:cs="TimesTen-Bold"/>
          <w:bCs/>
          <w:lang w:val="en-GB"/>
        </w:rPr>
        <w:t>Nonsignificant</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p</w:t>
      </w:r>
      <w:proofErr w:type="gramEnd"/>
      <w:r w:rsidRPr="006A7862">
        <w:rPr>
          <w:rFonts w:cs="TimesTen-Bold"/>
          <w:bCs/>
          <w:i/>
          <w:lang w:val="en-GB"/>
        </w:rPr>
        <w:tab/>
      </w:r>
      <w:r w:rsidRPr="006A7862">
        <w:rPr>
          <w:rFonts w:cs="TimesTen-Bold"/>
          <w:bCs/>
          <w:lang w:val="en-GB"/>
        </w:rPr>
        <w:t>Probability</w:t>
      </w:r>
    </w:p>
    <w:p w:rsidR="00ED0F7A" w:rsidRPr="006A7862" w:rsidRDefault="00ED0F7A" w:rsidP="00ED0F7A">
      <w:pPr>
        <w:tabs>
          <w:tab w:val="left" w:pos="1188"/>
        </w:tabs>
        <w:autoSpaceDE w:val="0"/>
        <w:autoSpaceDN w:val="0"/>
        <w:adjustRightInd w:val="0"/>
        <w:spacing w:after="120"/>
        <w:rPr>
          <w:rFonts w:cs="TimesTen-Bold"/>
          <w:bCs/>
          <w:lang w:val="en-GB"/>
        </w:rPr>
      </w:pPr>
      <w:proofErr w:type="spellStart"/>
      <w:proofErr w:type="gramStart"/>
      <w:r w:rsidRPr="006A7862">
        <w:rPr>
          <w:rFonts w:cs="TimesTen-Bold"/>
          <w:bCs/>
          <w:i/>
          <w:lang w:val="en-GB"/>
        </w:rPr>
        <w:t>pr</w:t>
      </w:r>
      <w:proofErr w:type="spellEnd"/>
      <w:proofErr w:type="gramEnd"/>
      <w:r w:rsidRPr="006A7862">
        <w:rPr>
          <w:rFonts w:cs="TimesTen-Bold"/>
          <w:bCs/>
          <w:i/>
          <w:lang w:val="en-GB"/>
        </w:rPr>
        <w:tab/>
      </w:r>
      <w:r w:rsidRPr="006A7862">
        <w:rPr>
          <w:rFonts w:cs="TimesTen-Bold"/>
          <w:bCs/>
          <w:lang w:val="en-GB"/>
        </w:rPr>
        <w:t>Partial correlation</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r</w:t>
      </w:r>
      <w:proofErr w:type="gramEnd"/>
      <w:r w:rsidRPr="006A7862">
        <w:rPr>
          <w:rFonts w:cs="TimesTen-Bold"/>
          <w:bCs/>
          <w:i/>
          <w:lang w:val="en-GB"/>
        </w:rPr>
        <w:tab/>
      </w:r>
      <w:r w:rsidRPr="006A7862">
        <w:rPr>
          <w:rFonts w:cs="TimesTen-Bold"/>
          <w:bCs/>
          <w:lang w:val="en-GB"/>
        </w:rPr>
        <w:t>Pearson product-moment correlation</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r</w:t>
      </w:r>
      <w:r w:rsidRPr="006A7862">
        <w:rPr>
          <w:rFonts w:cs="TimesTen-Bold"/>
          <w:bCs/>
          <w:i/>
          <w:vertAlign w:val="superscript"/>
          <w:lang w:val="en-GB"/>
        </w:rPr>
        <w:t>2</w:t>
      </w:r>
      <w:proofErr w:type="gramEnd"/>
      <w:r w:rsidRPr="006A7862">
        <w:rPr>
          <w:rFonts w:cs="TimesTen-Bold"/>
          <w:bCs/>
          <w:i/>
          <w:lang w:val="en-GB"/>
        </w:rPr>
        <w:tab/>
      </w:r>
      <w:r w:rsidRPr="006A7862">
        <w:rPr>
          <w:rFonts w:cs="TimesTen-Bold"/>
          <w:bCs/>
          <w:lang w:val="en-GB"/>
        </w:rPr>
        <w:t>Pearson product-moment correlation squared</w:t>
      </w:r>
    </w:p>
    <w:p w:rsidR="00ED0F7A" w:rsidRPr="006A7862" w:rsidRDefault="00ED0F7A" w:rsidP="00ED0F7A">
      <w:pPr>
        <w:tabs>
          <w:tab w:val="left" w:pos="1188"/>
        </w:tabs>
        <w:autoSpaceDE w:val="0"/>
        <w:autoSpaceDN w:val="0"/>
        <w:adjustRightInd w:val="0"/>
        <w:spacing w:after="120"/>
        <w:rPr>
          <w:rFonts w:cs="TimesTen-Bold"/>
          <w:bCs/>
          <w:lang w:val="en-GB"/>
        </w:rPr>
      </w:pPr>
      <w:proofErr w:type="spellStart"/>
      <w:proofErr w:type="gramStart"/>
      <w:r w:rsidRPr="006A7862">
        <w:rPr>
          <w:rFonts w:cs="TimesTen-Bold"/>
          <w:bCs/>
          <w:i/>
          <w:lang w:val="en-GB"/>
        </w:rPr>
        <w:t>r</w:t>
      </w:r>
      <w:r w:rsidRPr="006A7862">
        <w:rPr>
          <w:rFonts w:cs="TimesTen-Bold"/>
          <w:bCs/>
          <w:i/>
          <w:vertAlign w:val="subscript"/>
          <w:lang w:val="en-GB"/>
        </w:rPr>
        <w:t>s</w:t>
      </w:r>
      <w:proofErr w:type="spellEnd"/>
      <w:proofErr w:type="gramEnd"/>
      <w:r w:rsidRPr="006A7862">
        <w:rPr>
          <w:rFonts w:cs="TimesTen-Bold"/>
          <w:bCs/>
          <w:i/>
          <w:lang w:val="en-GB"/>
        </w:rPr>
        <w:tab/>
      </w:r>
      <w:r w:rsidRPr="006A7862">
        <w:rPr>
          <w:rFonts w:cs="TimesTen-Bold"/>
          <w:bCs/>
          <w:lang w:val="en-GB"/>
        </w:rPr>
        <w:t>Spearman rank correlation coefficient</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R</w:t>
      </w:r>
      <w:r w:rsidRPr="006A7862">
        <w:rPr>
          <w:rFonts w:cs="TimesTen-Bold"/>
          <w:bCs/>
          <w:i/>
          <w:lang w:val="en-GB"/>
        </w:rPr>
        <w:tab/>
      </w:r>
      <w:r w:rsidRPr="006A7862">
        <w:rPr>
          <w:rFonts w:cs="TimesTen-Bold"/>
          <w:bCs/>
          <w:lang w:val="en-GB"/>
        </w:rPr>
        <w:t>Multiple correlation</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R</w:t>
      </w:r>
      <w:r w:rsidRPr="006A7862">
        <w:rPr>
          <w:rFonts w:cs="TimesTen-Bold"/>
          <w:bCs/>
          <w:i/>
          <w:vertAlign w:val="superscript"/>
          <w:lang w:val="en-GB"/>
        </w:rPr>
        <w:t>2</w:t>
      </w:r>
      <w:r w:rsidRPr="006A7862">
        <w:rPr>
          <w:rFonts w:cs="TimesTen-Bold"/>
          <w:bCs/>
          <w:i/>
          <w:lang w:val="en-GB"/>
        </w:rPr>
        <w:tab/>
      </w:r>
      <w:r w:rsidRPr="006A7862">
        <w:rPr>
          <w:rFonts w:cs="TimesTen-Bold"/>
          <w:bCs/>
          <w:lang w:val="en-GB"/>
        </w:rPr>
        <w:t xml:space="preserve">Multiple </w:t>
      </w:r>
      <w:proofErr w:type="gramStart"/>
      <w:r w:rsidRPr="006A7862">
        <w:rPr>
          <w:rFonts w:cs="TimesTen-Bold"/>
          <w:bCs/>
          <w:lang w:val="en-GB"/>
        </w:rPr>
        <w:t>correlation</w:t>
      </w:r>
      <w:proofErr w:type="gramEnd"/>
      <w:r w:rsidRPr="006A7862">
        <w:rPr>
          <w:rFonts w:cs="TimesTen-Bold"/>
          <w:bCs/>
          <w:lang w:val="en-GB"/>
        </w:rPr>
        <w:t xml:space="preserve"> squared</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SD</w:t>
      </w:r>
      <w:r w:rsidRPr="006A7862">
        <w:rPr>
          <w:rFonts w:cs="TimesTen-Bold"/>
          <w:bCs/>
          <w:i/>
          <w:lang w:val="en-GB"/>
        </w:rPr>
        <w:tab/>
      </w:r>
      <w:r w:rsidRPr="006A7862">
        <w:rPr>
          <w:rFonts w:cs="TimesTen-Bold"/>
          <w:bCs/>
          <w:lang w:val="en-GB"/>
        </w:rPr>
        <w:t>Standard deviation</w:t>
      </w:r>
    </w:p>
    <w:p w:rsidR="00ED0F7A" w:rsidRPr="00566BE8"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SE</w:t>
      </w:r>
      <w:r>
        <w:rPr>
          <w:rFonts w:cs="TimesTen-Bold"/>
          <w:bCs/>
          <w:i/>
          <w:lang w:val="en-GB"/>
        </w:rPr>
        <w:tab/>
      </w:r>
      <w:r>
        <w:rPr>
          <w:rFonts w:cs="TimesTen-Bold"/>
          <w:bCs/>
          <w:lang w:val="en-GB"/>
        </w:rPr>
        <w:t>Standard error</w:t>
      </w:r>
    </w:p>
    <w:p w:rsidR="00ED0F7A" w:rsidRPr="006A7862" w:rsidRDefault="00ED0F7A" w:rsidP="00ED0F7A">
      <w:pPr>
        <w:tabs>
          <w:tab w:val="left" w:pos="1188"/>
        </w:tabs>
        <w:autoSpaceDE w:val="0"/>
        <w:autoSpaceDN w:val="0"/>
        <w:adjustRightInd w:val="0"/>
        <w:spacing w:after="120"/>
        <w:rPr>
          <w:rFonts w:cs="TimesTen-Bold"/>
          <w:bCs/>
          <w:lang w:val="en-GB"/>
        </w:rPr>
      </w:pPr>
      <w:r>
        <w:rPr>
          <w:rFonts w:cs="TimesTen-Bold"/>
          <w:bCs/>
          <w:i/>
          <w:lang w:val="en-GB"/>
        </w:rPr>
        <w:t>SEM</w:t>
      </w:r>
      <w:r w:rsidRPr="006A7862">
        <w:rPr>
          <w:rFonts w:cs="TimesTen-Bold"/>
          <w:bCs/>
          <w:i/>
          <w:lang w:val="en-GB"/>
        </w:rPr>
        <w:tab/>
      </w:r>
      <w:r w:rsidRPr="006A7862">
        <w:rPr>
          <w:rFonts w:cs="TimesTen-Bold"/>
          <w:bCs/>
          <w:lang w:val="en-GB"/>
        </w:rPr>
        <w:t>Standard error</w:t>
      </w:r>
      <w:r>
        <w:rPr>
          <w:rFonts w:cs="TimesTen-Bold"/>
          <w:bCs/>
          <w:lang w:val="en-GB"/>
        </w:rPr>
        <w:t xml:space="preserve"> of mean</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SS</w:t>
      </w:r>
      <w:r w:rsidRPr="006A7862">
        <w:rPr>
          <w:rFonts w:cs="TimesTen-Bold"/>
          <w:bCs/>
          <w:i/>
          <w:lang w:val="en-GB"/>
        </w:rPr>
        <w:tab/>
      </w:r>
      <w:r w:rsidRPr="006A7862">
        <w:rPr>
          <w:rFonts w:cs="TimesTen-Bold"/>
          <w:bCs/>
          <w:lang w:val="en-GB"/>
        </w:rPr>
        <w:t>Sum of squares</w:t>
      </w:r>
    </w:p>
    <w:p w:rsidR="00ED0F7A" w:rsidRPr="006A7862" w:rsidRDefault="00ED0F7A" w:rsidP="00ED0F7A">
      <w:pPr>
        <w:tabs>
          <w:tab w:val="left" w:pos="1188"/>
        </w:tabs>
        <w:autoSpaceDE w:val="0"/>
        <w:autoSpaceDN w:val="0"/>
        <w:adjustRightInd w:val="0"/>
        <w:spacing w:after="120"/>
        <w:rPr>
          <w:rFonts w:cs="TimesTen-Bold"/>
          <w:bCs/>
          <w:lang w:val="en-GB"/>
        </w:rPr>
      </w:pPr>
      <w:proofErr w:type="spellStart"/>
      <w:proofErr w:type="gramStart"/>
      <w:r w:rsidRPr="006A7862">
        <w:rPr>
          <w:rFonts w:cs="TimesTen-Bold"/>
          <w:bCs/>
          <w:i/>
          <w:lang w:val="en-GB"/>
        </w:rPr>
        <w:t>sr</w:t>
      </w:r>
      <w:proofErr w:type="spellEnd"/>
      <w:proofErr w:type="gramEnd"/>
      <w:r w:rsidRPr="006A7862">
        <w:rPr>
          <w:rFonts w:cs="TimesTen-Bold"/>
          <w:bCs/>
          <w:i/>
          <w:lang w:val="en-GB"/>
        </w:rPr>
        <w:tab/>
      </w:r>
      <w:proofErr w:type="spellStart"/>
      <w:r w:rsidRPr="006A7862">
        <w:rPr>
          <w:rFonts w:cs="TimesTen-Bold"/>
          <w:bCs/>
          <w:lang w:val="en-GB"/>
        </w:rPr>
        <w:t>Semipartial</w:t>
      </w:r>
      <w:proofErr w:type="spellEnd"/>
      <w:r w:rsidRPr="006A7862">
        <w:rPr>
          <w:rFonts w:cs="TimesTen-Bold"/>
          <w:bCs/>
          <w:lang w:val="en-GB"/>
        </w:rPr>
        <w:t xml:space="preserve"> correlation</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lastRenderedPageBreak/>
        <w:t>t</w:t>
      </w:r>
      <w:proofErr w:type="gramEnd"/>
      <w:r w:rsidRPr="006A7862">
        <w:rPr>
          <w:rFonts w:cs="TimesTen-Bold"/>
          <w:bCs/>
          <w:i/>
          <w:lang w:val="en-GB"/>
        </w:rPr>
        <w:tab/>
      </w:r>
      <w:r w:rsidRPr="006A7862">
        <w:rPr>
          <w:rFonts w:cs="TimesTen-Bold"/>
          <w:bCs/>
          <w:lang w:val="en-GB"/>
        </w:rPr>
        <w:t xml:space="preserve">Computed value of </w:t>
      </w:r>
      <w:r w:rsidRPr="006A7862">
        <w:rPr>
          <w:rFonts w:cs="TimesTen-Bold"/>
          <w:bCs/>
          <w:i/>
          <w:lang w:val="en-GB"/>
        </w:rPr>
        <w:t>t</w:t>
      </w:r>
      <w:r w:rsidRPr="006A7862">
        <w:rPr>
          <w:rFonts w:cs="TimesTen-Bold"/>
          <w:bCs/>
          <w:lang w:val="en-GB"/>
        </w:rPr>
        <w:t xml:space="preserve"> test</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T</w:t>
      </w:r>
      <w:r w:rsidRPr="006A7862">
        <w:rPr>
          <w:rFonts w:cs="TimesTen-Bold"/>
          <w:bCs/>
          <w:i/>
          <w:lang w:val="en-GB"/>
        </w:rPr>
        <w:tab/>
      </w:r>
      <w:r w:rsidRPr="006A7862">
        <w:rPr>
          <w:rFonts w:cs="TimesTen-Bold"/>
          <w:bCs/>
          <w:lang w:val="en-GB"/>
        </w:rPr>
        <w:t>Computed value of Wilcoxon test</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U</w:t>
      </w:r>
      <w:r w:rsidRPr="006A7862">
        <w:rPr>
          <w:rFonts w:cs="TimesTen-Bold"/>
          <w:bCs/>
          <w:i/>
          <w:lang w:val="en-GB"/>
        </w:rPr>
        <w:tab/>
      </w:r>
      <w:r w:rsidRPr="006A7862">
        <w:rPr>
          <w:rFonts w:cs="TimesTen-Bold"/>
          <w:bCs/>
          <w:lang w:val="en-GB"/>
        </w:rPr>
        <w:t>Computed value of Mann-Whitney test</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x</w:t>
      </w:r>
      <w:proofErr w:type="gramEnd"/>
      <w:r w:rsidRPr="006A7862">
        <w:rPr>
          <w:rFonts w:cs="TimesTen-Bold"/>
          <w:bCs/>
          <w:i/>
          <w:lang w:val="en-GB"/>
        </w:rPr>
        <w:tab/>
      </w:r>
      <w:r w:rsidRPr="006A7862">
        <w:rPr>
          <w:rFonts w:cs="TimesTen-Bold"/>
          <w:bCs/>
          <w:lang w:val="en-GB"/>
        </w:rPr>
        <w:t>Abscissa (horizontal axis in graph)</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y</w:t>
      </w:r>
      <w:proofErr w:type="gramEnd"/>
      <w:r w:rsidRPr="006A7862">
        <w:rPr>
          <w:rFonts w:cs="TimesTen-Bold"/>
          <w:bCs/>
          <w:i/>
          <w:lang w:val="en-GB"/>
        </w:rPr>
        <w:tab/>
      </w:r>
      <w:r w:rsidRPr="006A7862">
        <w:rPr>
          <w:rFonts w:cs="TimesTen-Bold"/>
          <w:bCs/>
          <w:lang w:val="en-GB"/>
        </w:rPr>
        <w:t>Ordinate (vertical axis in graph)</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z</w:t>
      </w:r>
      <w:proofErr w:type="gramEnd"/>
      <w:r w:rsidRPr="006A7862">
        <w:rPr>
          <w:rFonts w:cs="TimesTen-Bold"/>
          <w:bCs/>
          <w:i/>
          <w:lang w:val="en-GB"/>
        </w:rPr>
        <w:tab/>
      </w:r>
      <w:r w:rsidRPr="006A7862">
        <w:rPr>
          <w:rFonts w:cs="TimesTen-Bold"/>
          <w:bCs/>
          <w:lang w:val="en-GB"/>
        </w:rPr>
        <w:t xml:space="preserve">A standard score; difference between one value in a distribution and the </w:t>
      </w:r>
      <w:r w:rsidRPr="006A7862">
        <w:rPr>
          <w:rFonts w:cs="TimesTen-Bold"/>
          <w:bCs/>
          <w:lang w:val="en-GB"/>
        </w:rPr>
        <w:tab/>
        <w:t xml:space="preserve">mean of the distribution divided by the </w:t>
      </w:r>
      <w:r w:rsidRPr="006A7862">
        <w:rPr>
          <w:rFonts w:cs="TimesTen-Bold"/>
          <w:bCs/>
          <w:i/>
          <w:lang w:val="en-GB"/>
        </w:rPr>
        <w:t>SD</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α</w:t>
      </w:r>
      <w:proofErr w:type="gramEnd"/>
      <w:r w:rsidRPr="006A7862">
        <w:rPr>
          <w:rFonts w:cs="TimesTen-Bold"/>
          <w:bCs/>
          <w:i/>
          <w:lang w:val="en-GB"/>
        </w:rPr>
        <w:tab/>
      </w:r>
      <w:r w:rsidRPr="006A7862">
        <w:rPr>
          <w:rFonts w:cs="TimesTen-Bold"/>
          <w:bCs/>
          <w:lang w:val="en-GB"/>
        </w:rPr>
        <w:t>Alpha; Cronbach’s index of internal consistency</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β</w:t>
      </w:r>
      <w:proofErr w:type="gramEnd"/>
      <w:r w:rsidRPr="006A7862">
        <w:rPr>
          <w:rFonts w:cs="TimesTen-Bold"/>
          <w:bCs/>
          <w:i/>
          <w:lang w:val="en-GB"/>
        </w:rPr>
        <w:tab/>
      </w:r>
      <w:r w:rsidRPr="006A7862">
        <w:rPr>
          <w:rFonts w:cs="TimesTen-Bold"/>
          <w:bCs/>
          <w:lang w:val="en-GB"/>
        </w:rPr>
        <w:t>Beta; standardized multiple regression coefficient</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Δ</w:t>
      </w:r>
      <w:r w:rsidRPr="006A7862">
        <w:rPr>
          <w:rFonts w:cs="TimesTen-Bold"/>
          <w:bCs/>
          <w:i/>
          <w:lang w:val="en-GB"/>
        </w:rPr>
        <w:tab/>
      </w:r>
      <w:r w:rsidRPr="006A7862">
        <w:rPr>
          <w:rFonts w:cs="TimesTen-Bold"/>
          <w:bCs/>
          <w:lang w:val="en-GB"/>
        </w:rPr>
        <w:t>Delta; increment of change</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κ</w:t>
      </w:r>
      <w:proofErr w:type="gramEnd"/>
      <w:r w:rsidRPr="006A7862">
        <w:rPr>
          <w:rFonts w:cs="TimesTen-Bold"/>
          <w:bCs/>
          <w:i/>
          <w:lang w:val="en-GB"/>
        </w:rPr>
        <w:tab/>
      </w:r>
      <w:r w:rsidRPr="006A7862">
        <w:rPr>
          <w:rFonts w:cs="TimesTen-Bold"/>
          <w:bCs/>
          <w:lang w:val="en-GB"/>
        </w:rPr>
        <w:t>Cohen’s estimate of effect size</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η</w:t>
      </w:r>
      <w:r w:rsidRPr="006A7862">
        <w:rPr>
          <w:rFonts w:cs="TimesTen-Bold"/>
          <w:bCs/>
          <w:i/>
          <w:vertAlign w:val="superscript"/>
          <w:lang w:val="en-GB"/>
        </w:rPr>
        <w:t>2</w:t>
      </w:r>
      <w:proofErr w:type="gramEnd"/>
      <w:r w:rsidRPr="006A7862">
        <w:rPr>
          <w:rFonts w:cs="TimesTen-Bold"/>
          <w:bCs/>
          <w:i/>
          <w:lang w:val="en-GB"/>
        </w:rPr>
        <w:tab/>
      </w:r>
      <w:r w:rsidRPr="006A7862">
        <w:rPr>
          <w:rFonts w:cs="TimesTen-Bold"/>
          <w:bCs/>
          <w:lang w:val="en-GB"/>
        </w:rPr>
        <w:t>Eta squared; measure of strength of relationship</w:t>
      </w:r>
    </w:p>
    <w:p w:rsidR="00ED0F7A" w:rsidRPr="006A7862" w:rsidRDefault="00ED0F7A" w:rsidP="00ED0F7A">
      <w:pPr>
        <w:tabs>
          <w:tab w:val="left" w:pos="1188"/>
        </w:tabs>
        <w:autoSpaceDE w:val="0"/>
        <w:autoSpaceDN w:val="0"/>
        <w:adjustRightInd w:val="0"/>
        <w:spacing w:after="120"/>
        <w:rPr>
          <w:rFonts w:cs="TimesTen-Bold"/>
          <w:bCs/>
          <w:lang w:val="en-GB"/>
        </w:rPr>
      </w:pPr>
      <w:r w:rsidRPr="006A7862">
        <w:rPr>
          <w:rFonts w:cs="TimesTen-Bold"/>
          <w:bCs/>
          <w:i/>
          <w:lang w:val="en-GB"/>
        </w:rPr>
        <w:t>Λ</w:t>
      </w:r>
      <w:r w:rsidRPr="006A7862">
        <w:rPr>
          <w:rFonts w:cs="TimesTen-Bold"/>
          <w:bCs/>
          <w:i/>
          <w:lang w:val="en-GB"/>
        </w:rPr>
        <w:tab/>
      </w:r>
      <w:r w:rsidRPr="006A7862">
        <w:rPr>
          <w:rFonts w:cs="TimesTen-Bold"/>
          <w:bCs/>
          <w:lang w:val="en-GB"/>
        </w:rPr>
        <w:t>Lambda; Wilks’s multivariate criterion</w:t>
      </w: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χ</w:t>
      </w:r>
      <w:r w:rsidRPr="006A7862">
        <w:rPr>
          <w:rFonts w:cs="TimesTen-Bold"/>
          <w:bCs/>
          <w:i/>
          <w:vertAlign w:val="superscript"/>
          <w:lang w:val="en-GB"/>
        </w:rPr>
        <w:t>2</w:t>
      </w:r>
      <w:proofErr w:type="gramEnd"/>
      <w:r w:rsidRPr="006A7862">
        <w:rPr>
          <w:rFonts w:cs="TimesTen-Bold"/>
          <w:bCs/>
          <w:i/>
          <w:lang w:val="en-GB"/>
        </w:rPr>
        <w:tab/>
      </w:r>
      <w:r w:rsidRPr="006A7862">
        <w:rPr>
          <w:rFonts w:cs="TimesTen-Bold"/>
          <w:bCs/>
          <w:lang w:val="en-GB"/>
        </w:rPr>
        <w:t>Computed value of a chi-square test</w:t>
      </w:r>
    </w:p>
    <w:p w:rsidR="00ED0F7A" w:rsidRDefault="00ED0F7A" w:rsidP="00ED0F7A">
      <w:pPr>
        <w:tabs>
          <w:tab w:val="left" w:pos="1188"/>
        </w:tabs>
        <w:autoSpaceDE w:val="0"/>
        <w:autoSpaceDN w:val="0"/>
        <w:adjustRightInd w:val="0"/>
        <w:spacing w:after="120"/>
        <w:rPr>
          <w:rFonts w:cs="TimesTen-Bold"/>
          <w:bCs/>
          <w:lang w:val="en-GB"/>
        </w:rPr>
      </w:pPr>
      <w:proofErr w:type="gramStart"/>
      <w:r w:rsidRPr="006A7862">
        <w:rPr>
          <w:rFonts w:cs="TimesTen-Bold"/>
          <w:bCs/>
          <w:i/>
          <w:lang w:val="en-GB"/>
        </w:rPr>
        <w:t>ω</w:t>
      </w:r>
      <w:r w:rsidRPr="006A7862">
        <w:rPr>
          <w:rFonts w:cs="TimesTen-Bold"/>
          <w:bCs/>
          <w:i/>
          <w:vertAlign w:val="superscript"/>
          <w:lang w:val="en-GB"/>
        </w:rPr>
        <w:t>2</w:t>
      </w:r>
      <w:proofErr w:type="gramEnd"/>
      <w:r w:rsidRPr="006A7862">
        <w:rPr>
          <w:rFonts w:cs="TimesTen-Bold"/>
          <w:bCs/>
          <w:i/>
          <w:lang w:val="en-GB"/>
        </w:rPr>
        <w:tab/>
      </w:r>
      <w:r w:rsidRPr="006A7862">
        <w:rPr>
          <w:rFonts w:cs="TimesTen-Bold"/>
          <w:bCs/>
          <w:lang w:val="en-GB"/>
        </w:rPr>
        <w:t>Omega squared; measure of strength of relationship</w:t>
      </w:r>
    </w:p>
    <w:p w:rsidR="00ED0F7A" w:rsidRDefault="00ED0F7A" w:rsidP="00ED0F7A">
      <w:pPr>
        <w:tabs>
          <w:tab w:val="left" w:pos="1188"/>
        </w:tabs>
        <w:autoSpaceDE w:val="0"/>
        <w:autoSpaceDN w:val="0"/>
        <w:adjustRightInd w:val="0"/>
        <w:spacing w:after="120"/>
        <w:rPr>
          <w:rFonts w:cs="TimesTen-Bold"/>
          <w:bCs/>
          <w:lang w:val="en-GB"/>
        </w:rPr>
      </w:pPr>
    </w:p>
    <w:p w:rsidR="00ED0F7A" w:rsidRPr="006A7862" w:rsidRDefault="00ED0F7A" w:rsidP="00ED0F7A">
      <w:pPr>
        <w:tabs>
          <w:tab w:val="left" w:pos="1188"/>
        </w:tabs>
        <w:autoSpaceDE w:val="0"/>
        <w:autoSpaceDN w:val="0"/>
        <w:adjustRightInd w:val="0"/>
        <w:spacing w:after="120"/>
        <w:rPr>
          <w:rFonts w:cs="TimesTen-Bold"/>
          <w:bCs/>
          <w:lang w:val="en-GB"/>
        </w:rPr>
      </w:pPr>
      <w:proofErr w:type="gramStart"/>
      <w:r>
        <w:rPr>
          <w:rFonts w:cs="TimesTen-Bold"/>
          <w:bCs/>
          <w:lang w:val="en-GB"/>
        </w:rPr>
        <w:t>As a rule of thumb abbreviations</w:t>
      </w:r>
      <w:proofErr w:type="gramEnd"/>
      <w:r>
        <w:rPr>
          <w:rFonts w:cs="TimesTen-Bold"/>
          <w:bCs/>
          <w:lang w:val="en-GB"/>
        </w:rPr>
        <w:t xml:space="preserve"> like, ANOVA, ANCOVA, MANOVA are not put in italics.</w:t>
      </w:r>
    </w:p>
    <w:p w:rsidR="00ED0F7A" w:rsidRPr="006A7862" w:rsidRDefault="00ED0F7A" w:rsidP="00ED0F7A">
      <w:pPr>
        <w:autoSpaceDE w:val="0"/>
        <w:autoSpaceDN w:val="0"/>
        <w:adjustRightInd w:val="0"/>
        <w:spacing w:after="120"/>
        <w:rPr>
          <w:rFonts w:cs="TimesTen-Bold"/>
          <w:bCs/>
          <w:lang w:val="en-GB"/>
        </w:rPr>
      </w:pPr>
    </w:p>
    <w:p w:rsidR="00ED0F7A" w:rsidRPr="006A7862" w:rsidRDefault="00ED0F7A" w:rsidP="00ED0F7A">
      <w:pPr>
        <w:spacing w:after="120"/>
        <w:rPr>
          <w:lang w:val="en-GB"/>
        </w:rPr>
      </w:pPr>
    </w:p>
    <w:p w:rsidR="007741A5" w:rsidRDefault="007741A5"/>
    <w:sectPr w:rsidR="007741A5">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37" w:rsidRDefault="00594F37">
      <w:r>
        <w:separator/>
      </w:r>
    </w:p>
  </w:endnote>
  <w:endnote w:type="continuationSeparator" w:id="0">
    <w:p w:rsidR="00594F37" w:rsidRDefault="0059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ion-Regular">
    <w:altName w:val="Times New Roman"/>
    <w:panose1 w:val="00000000000000000000"/>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37" w:rsidRDefault="00594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F37" w:rsidRDefault="00594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37" w:rsidRDefault="00594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C9B">
      <w:rPr>
        <w:rStyle w:val="PageNumber"/>
        <w:noProof/>
      </w:rPr>
      <w:t>5</w:t>
    </w:r>
    <w:r>
      <w:rPr>
        <w:rStyle w:val="PageNumber"/>
      </w:rPr>
      <w:fldChar w:fldCharType="end"/>
    </w:r>
  </w:p>
  <w:p w:rsidR="00594F37" w:rsidRDefault="00594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37" w:rsidRDefault="00594F37">
      <w:r>
        <w:separator/>
      </w:r>
    </w:p>
  </w:footnote>
  <w:footnote w:type="continuationSeparator" w:id="0">
    <w:p w:rsidR="00594F37" w:rsidRDefault="00594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7C4E"/>
    <w:multiLevelType w:val="hybridMultilevel"/>
    <w:tmpl w:val="1C646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nion-Regula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n-Regula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n-Regula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174E9F"/>
    <w:multiLevelType w:val="multilevel"/>
    <w:tmpl w:val="340C2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Minion-Regula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inion-Regula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inion-Regula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729F0EA2"/>
    <w:multiLevelType w:val="hybridMultilevel"/>
    <w:tmpl w:val="340C2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nion-Regula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n-Regula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n-Regula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A76B96"/>
    <w:multiLevelType w:val="hybridMultilevel"/>
    <w:tmpl w:val="30D843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Minion-Regula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n-Regula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n-Regula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7A"/>
    <w:rsid w:val="0025153D"/>
    <w:rsid w:val="00594F37"/>
    <w:rsid w:val="007741A5"/>
    <w:rsid w:val="00904C66"/>
    <w:rsid w:val="009C6C9B"/>
    <w:rsid w:val="00D94604"/>
    <w:rsid w:val="00DF4350"/>
    <w:rsid w:val="00ED0F7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7A"/>
    <w:pPr>
      <w:spacing w:after="0"/>
    </w:pPr>
    <w:rPr>
      <w:rFonts w:ascii="Times New Roman" w:eastAsia="Times New Roman" w:hAnsi="Times New Roman" w:cs="Times New Roman"/>
    </w:rPr>
  </w:style>
  <w:style w:type="paragraph" w:styleId="Heading3">
    <w:name w:val="heading 3"/>
    <w:basedOn w:val="Normal"/>
    <w:link w:val="Heading3Char"/>
    <w:uiPriority w:val="9"/>
    <w:rsid w:val="00ED0F7A"/>
    <w:pPr>
      <w:spacing w:beforeLines="1" w:afterLines="1"/>
      <w:outlineLvl w:val="2"/>
    </w:pPr>
    <w:rPr>
      <w:rFonts w:ascii="Times" w:hAnsi="Times"/>
      <w:b/>
      <w:sz w:val="27"/>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F7A"/>
    <w:rPr>
      <w:rFonts w:ascii="Times" w:eastAsia="Times New Roman" w:hAnsi="Times" w:cs="Times New Roman"/>
      <w:b/>
      <w:sz w:val="27"/>
      <w:szCs w:val="20"/>
      <w:lang w:val="en-GB"/>
    </w:rPr>
  </w:style>
  <w:style w:type="table" w:styleId="TableGrid">
    <w:name w:val="Table Grid"/>
    <w:basedOn w:val="TableNormal"/>
    <w:uiPriority w:val="59"/>
    <w:rsid w:val="00ED0F7A"/>
    <w:pPr>
      <w:spacing w:after="0"/>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ED0F7A"/>
    <w:rPr>
      <w:color w:val="0000FF"/>
      <w:u w:val="single"/>
    </w:rPr>
  </w:style>
  <w:style w:type="paragraph" w:styleId="Footer">
    <w:name w:val="footer"/>
    <w:basedOn w:val="Normal"/>
    <w:link w:val="FooterChar"/>
    <w:rsid w:val="00ED0F7A"/>
    <w:pPr>
      <w:tabs>
        <w:tab w:val="center" w:pos="4320"/>
        <w:tab w:val="right" w:pos="8640"/>
      </w:tabs>
    </w:pPr>
  </w:style>
  <w:style w:type="character" w:customStyle="1" w:styleId="FooterChar">
    <w:name w:val="Footer Char"/>
    <w:basedOn w:val="DefaultParagraphFont"/>
    <w:link w:val="Footer"/>
    <w:rsid w:val="00ED0F7A"/>
    <w:rPr>
      <w:rFonts w:ascii="Times New Roman" w:eastAsia="Times New Roman" w:hAnsi="Times New Roman" w:cs="Times New Roman"/>
    </w:rPr>
  </w:style>
  <w:style w:type="character" w:styleId="PageNumber">
    <w:name w:val="page number"/>
    <w:basedOn w:val="DefaultParagraphFont"/>
    <w:rsid w:val="00ED0F7A"/>
  </w:style>
  <w:style w:type="character" w:styleId="FollowedHyperlink">
    <w:name w:val="FollowedHyperlink"/>
    <w:basedOn w:val="DefaultParagraphFont"/>
    <w:rsid w:val="00ED0F7A"/>
    <w:rPr>
      <w:color w:val="800080"/>
      <w:u w:val="single"/>
    </w:rPr>
  </w:style>
  <w:style w:type="paragraph" w:styleId="BalloonText">
    <w:name w:val="Balloon Text"/>
    <w:basedOn w:val="Normal"/>
    <w:link w:val="BalloonTextChar"/>
    <w:uiPriority w:val="99"/>
    <w:semiHidden/>
    <w:unhideWhenUsed/>
    <w:rsid w:val="0025153D"/>
    <w:rPr>
      <w:rFonts w:ascii="Tahoma" w:hAnsi="Tahoma" w:cs="Tahoma"/>
      <w:sz w:val="16"/>
      <w:szCs w:val="16"/>
    </w:rPr>
  </w:style>
  <w:style w:type="character" w:customStyle="1" w:styleId="BalloonTextChar">
    <w:name w:val="Balloon Text Char"/>
    <w:basedOn w:val="DefaultParagraphFont"/>
    <w:link w:val="BalloonText"/>
    <w:uiPriority w:val="99"/>
    <w:semiHidden/>
    <w:rsid w:val="0025153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741A5"/>
    <w:rPr>
      <w:sz w:val="16"/>
      <w:szCs w:val="16"/>
    </w:rPr>
  </w:style>
  <w:style w:type="paragraph" w:styleId="CommentText">
    <w:name w:val="annotation text"/>
    <w:basedOn w:val="Normal"/>
    <w:link w:val="CommentTextChar"/>
    <w:uiPriority w:val="99"/>
    <w:semiHidden/>
    <w:unhideWhenUsed/>
    <w:rsid w:val="007741A5"/>
    <w:rPr>
      <w:sz w:val="20"/>
      <w:szCs w:val="20"/>
    </w:rPr>
  </w:style>
  <w:style w:type="character" w:customStyle="1" w:styleId="CommentTextChar">
    <w:name w:val="Comment Text Char"/>
    <w:basedOn w:val="DefaultParagraphFont"/>
    <w:link w:val="CommentText"/>
    <w:uiPriority w:val="99"/>
    <w:semiHidden/>
    <w:rsid w:val="00774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1A5"/>
    <w:rPr>
      <w:b/>
      <w:bCs/>
    </w:rPr>
  </w:style>
  <w:style w:type="character" w:customStyle="1" w:styleId="CommentSubjectChar">
    <w:name w:val="Comment Subject Char"/>
    <w:basedOn w:val="CommentTextChar"/>
    <w:link w:val="CommentSubject"/>
    <w:uiPriority w:val="99"/>
    <w:semiHidden/>
    <w:rsid w:val="007741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7A"/>
    <w:pPr>
      <w:spacing w:after="0"/>
    </w:pPr>
    <w:rPr>
      <w:rFonts w:ascii="Times New Roman" w:eastAsia="Times New Roman" w:hAnsi="Times New Roman" w:cs="Times New Roman"/>
    </w:rPr>
  </w:style>
  <w:style w:type="paragraph" w:styleId="Heading3">
    <w:name w:val="heading 3"/>
    <w:basedOn w:val="Normal"/>
    <w:link w:val="Heading3Char"/>
    <w:uiPriority w:val="9"/>
    <w:rsid w:val="00ED0F7A"/>
    <w:pPr>
      <w:spacing w:beforeLines="1" w:afterLines="1"/>
      <w:outlineLvl w:val="2"/>
    </w:pPr>
    <w:rPr>
      <w:rFonts w:ascii="Times" w:hAnsi="Times"/>
      <w:b/>
      <w:sz w:val="27"/>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F7A"/>
    <w:rPr>
      <w:rFonts w:ascii="Times" w:eastAsia="Times New Roman" w:hAnsi="Times" w:cs="Times New Roman"/>
      <w:b/>
      <w:sz w:val="27"/>
      <w:szCs w:val="20"/>
      <w:lang w:val="en-GB"/>
    </w:rPr>
  </w:style>
  <w:style w:type="table" w:styleId="TableGrid">
    <w:name w:val="Table Grid"/>
    <w:basedOn w:val="TableNormal"/>
    <w:uiPriority w:val="59"/>
    <w:rsid w:val="00ED0F7A"/>
    <w:pPr>
      <w:spacing w:after="0"/>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ED0F7A"/>
    <w:rPr>
      <w:color w:val="0000FF"/>
      <w:u w:val="single"/>
    </w:rPr>
  </w:style>
  <w:style w:type="paragraph" w:styleId="Footer">
    <w:name w:val="footer"/>
    <w:basedOn w:val="Normal"/>
    <w:link w:val="FooterChar"/>
    <w:rsid w:val="00ED0F7A"/>
    <w:pPr>
      <w:tabs>
        <w:tab w:val="center" w:pos="4320"/>
        <w:tab w:val="right" w:pos="8640"/>
      </w:tabs>
    </w:pPr>
  </w:style>
  <w:style w:type="character" w:customStyle="1" w:styleId="FooterChar">
    <w:name w:val="Footer Char"/>
    <w:basedOn w:val="DefaultParagraphFont"/>
    <w:link w:val="Footer"/>
    <w:rsid w:val="00ED0F7A"/>
    <w:rPr>
      <w:rFonts w:ascii="Times New Roman" w:eastAsia="Times New Roman" w:hAnsi="Times New Roman" w:cs="Times New Roman"/>
    </w:rPr>
  </w:style>
  <w:style w:type="character" w:styleId="PageNumber">
    <w:name w:val="page number"/>
    <w:basedOn w:val="DefaultParagraphFont"/>
    <w:rsid w:val="00ED0F7A"/>
  </w:style>
  <w:style w:type="character" w:styleId="FollowedHyperlink">
    <w:name w:val="FollowedHyperlink"/>
    <w:basedOn w:val="DefaultParagraphFont"/>
    <w:rsid w:val="00ED0F7A"/>
    <w:rPr>
      <w:color w:val="800080"/>
      <w:u w:val="single"/>
    </w:rPr>
  </w:style>
  <w:style w:type="paragraph" w:styleId="BalloonText">
    <w:name w:val="Balloon Text"/>
    <w:basedOn w:val="Normal"/>
    <w:link w:val="BalloonTextChar"/>
    <w:uiPriority w:val="99"/>
    <w:semiHidden/>
    <w:unhideWhenUsed/>
    <w:rsid w:val="0025153D"/>
    <w:rPr>
      <w:rFonts w:ascii="Tahoma" w:hAnsi="Tahoma" w:cs="Tahoma"/>
      <w:sz w:val="16"/>
      <w:szCs w:val="16"/>
    </w:rPr>
  </w:style>
  <w:style w:type="character" w:customStyle="1" w:styleId="BalloonTextChar">
    <w:name w:val="Balloon Text Char"/>
    <w:basedOn w:val="DefaultParagraphFont"/>
    <w:link w:val="BalloonText"/>
    <w:uiPriority w:val="99"/>
    <w:semiHidden/>
    <w:rsid w:val="0025153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741A5"/>
    <w:rPr>
      <w:sz w:val="16"/>
      <w:szCs w:val="16"/>
    </w:rPr>
  </w:style>
  <w:style w:type="paragraph" w:styleId="CommentText">
    <w:name w:val="annotation text"/>
    <w:basedOn w:val="Normal"/>
    <w:link w:val="CommentTextChar"/>
    <w:uiPriority w:val="99"/>
    <w:semiHidden/>
    <w:unhideWhenUsed/>
    <w:rsid w:val="007741A5"/>
    <w:rPr>
      <w:sz w:val="20"/>
      <w:szCs w:val="20"/>
    </w:rPr>
  </w:style>
  <w:style w:type="character" w:customStyle="1" w:styleId="CommentTextChar">
    <w:name w:val="Comment Text Char"/>
    <w:basedOn w:val="DefaultParagraphFont"/>
    <w:link w:val="CommentText"/>
    <w:uiPriority w:val="99"/>
    <w:semiHidden/>
    <w:rsid w:val="00774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1A5"/>
    <w:rPr>
      <w:b/>
      <w:bCs/>
    </w:rPr>
  </w:style>
  <w:style w:type="character" w:customStyle="1" w:styleId="CommentSubjectChar">
    <w:name w:val="Comment Subject Char"/>
    <w:basedOn w:val="CommentTextChar"/>
    <w:link w:val="CommentSubject"/>
    <w:uiPriority w:val="99"/>
    <w:semiHidden/>
    <w:rsid w:val="007741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a.org/monitor/apr05/realism.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yinghardtobreakfree.blogspot.com/2010/02/depressive-realism-more-accurat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ryinghardtobreakfree.blogspot.com/2010/02/depressive-realism-more-accurat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DD92-9940-4E6D-AAD2-97AC53FE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Msetfi</dc:creator>
  <cp:lastModifiedBy>Rob Parker</cp:lastModifiedBy>
  <cp:revision>3</cp:revision>
  <dcterms:created xsi:type="dcterms:W3CDTF">2016-07-14T07:55:00Z</dcterms:created>
  <dcterms:modified xsi:type="dcterms:W3CDTF">2017-01-17T09:40:00Z</dcterms:modified>
</cp:coreProperties>
</file>