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4AE6" w14:textId="77777777" w:rsidR="002D0A56" w:rsidRDefault="002D0A56" w:rsidP="002D0A56">
      <w:pPr>
        <w:jc w:val="right"/>
      </w:pPr>
      <w:r>
        <w:rPr>
          <w:noProof/>
          <w:lang w:val="en-GB" w:eastAsia="en-GB"/>
        </w:rPr>
        <w:drawing>
          <wp:inline distT="0" distB="0" distL="0" distR="0" wp14:anchorId="618A3224" wp14:editId="0DB27E46">
            <wp:extent cx="3505980" cy="49291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linps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2613" cy="510723"/>
                    </a:xfrm>
                    <a:prstGeom prst="rect">
                      <a:avLst/>
                    </a:prstGeom>
                  </pic:spPr>
                </pic:pic>
              </a:graphicData>
            </a:graphic>
          </wp:inline>
        </w:drawing>
      </w:r>
    </w:p>
    <w:p w14:paraId="14521713" w14:textId="77777777" w:rsidR="008D3AF8" w:rsidRDefault="008D3AF8" w:rsidP="002D0A56">
      <w:pPr>
        <w:jc w:val="right"/>
      </w:pPr>
    </w:p>
    <w:p w14:paraId="77B31D80" w14:textId="2E0CB1D3" w:rsidR="008D3AF8" w:rsidRPr="005D0FFC" w:rsidRDefault="008D3AF8" w:rsidP="008D3AF8">
      <w:pPr>
        <w:shd w:val="clear" w:color="auto" w:fill="FFFFFF"/>
        <w:spacing w:before="196" w:after="0" w:line="283" w:lineRule="atLeast"/>
        <w:textAlignment w:val="baseline"/>
        <w:outlineLvl w:val="1"/>
        <w:rPr>
          <w:rFonts w:asciiTheme="minorHAnsi" w:eastAsia="Times New Roman" w:hAnsiTheme="minorHAnsi" w:cstheme="minorHAnsi"/>
          <w:b/>
          <w:color w:val="000000"/>
          <w:spacing w:val="-10"/>
          <w:sz w:val="32"/>
          <w:szCs w:val="32"/>
          <w:lang w:eastAsia="en-GB"/>
        </w:rPr>
      </w:pPr>
      <w:r w:rsidRPr="001F4450">
        <w:rPr>
          <w:rFonts w:asciiTheme="minorHAnsi" w:eastAsia="Times New Roman" w:hAnsiTheme="minorHAnsi" w:cstheme="minorHAnsi"/>
          <w:b/>
          <w:color w:val="000000"/>
          <w:spacing w:val="-10"/>
          <w:sz w:val="32"/>
          <w:szCs w:val="32"/>
          <w:lang w:eastAsia="en-GB"/>
        </w:rPr>
        <w:t>Programme Completion</w:t>
      </w:r>
      <w:r>
        <w:rPr>
          <w:rFonts w:asciiTheme="minorHAnsi" w:eastAsia="Times New Roman" w:hAnsiTheme="minorHAnsi" w:cstheme="minorHAnsi"/>
          <w:b/>
          <w:color w:val="000000"/>
          <w:spacing w:val="-10"/>
          <w:sz w:val="32"/>
          <w:szCs w:val="32"/>
          <w:lang w:eastAsia="en-GB"/>
        </w:rPr>
        <w:t xml:space="preserve"> and Failure</w:t>
      </w:r>
    </w:p>
    <w:p w14:paraId="2D7FB7EE" w14:textId="77777777" w:rsidR="008D3AF8" w:rsidRDefault="008D3AF8" w:rsidP="008D3AF8">
      <w:pPr>
        <w:shd w:val="clear" w:color="auto" w:fill="FFFFFF"/>
        <w:spacing w:before="196" w:after="0" w:line="360" w:lineRule="auto"/>
        <w:textAlignment w:val="baseline"/>
        <w:outlineLvl w:val="1"/>
        <w:rPr>
          <w:rFonts w:asciiTheme="minorHAnsi" w:eastAsia="Times New Roman" w:hAnsiTheme="minorHAnsi" w:cstheme="minorHAnsi"/>
          <w:color w:val="000000"/>
          <w:spacing w:val="-10"/>
          <w:sz w:val="24"/>
          <w:szCs w:val="24"/>
          <w:lang w:eastAsia="en-GB"/>
        </w:rPr>
      </w:pPr>
      <w:r w:rsidRPr="001F4450">
        <w:rPr>
          <w:rFonts w:asciiTheme="minorHAnsi" w:eastAsia="Times New Roman" w:hAnsiTheme="minorHAnsi" w:cstheme="minorHAnsi"/>
          <w:color w:val="000000"/>
          <w:spacing w:val="-10"/>
          <w:sz w:val="24"/>
          <w:szCs w:val="24"/>
          <w:lang w:eastAsia="en-GB"/>
        </w:rPr>
        <w:t>It is important that all trainees and supervisors are aware of, and understand, th</w:t>
      </w:r>
      <w:r w:rsidR="00175D1E">
        <w:rPr>
          <w:rFonts w:asciiTheme="minorHAnsi" w:eastAsia="Times New Roman" w:hAnsiTheme="minorHAnsi" w:cstheme="minorHAnsi"/>
          <w:color w:val="000000"/>
          <w:spacing w:val="-10"/>
          <w:sz w:val="24"/>
          <w:szCs w:val="24"/>
          <w:lang w:eastAsia="en-GB"/>
        </w:rPr>
        <w:t>e requirements to complete the Doctorate in Clinical P</w:t>
      </w:r>
      <w:r w:rsidRPr="001F4450">
        <w:rPr>
          <w:rFonts w:asciiTheme="minorHAnsi" w:eastAsia="Times New Roman" w:hAnsiTheme="minorHAnsi" w:cstheme="minorHAnsi"/>
          <w:color w:val="000000"/>
          <w:spacing w:val="-10"/>
          <w:sz w:val="24"/>
          <w:szCs w:val="24"/>
          <w:lang w:eastAsia="en-GB"/>
        </w:rPr>
        <w:t xml:space="preserve">sychology programme and the potential routes to failure of the programme. </w:t>
      </w:r>
    </w:p>
    <w:p w14:paraId="17BFE5D4" w14:textId="77777777" w:rsidR="008D3AF8" w:rsidRDefault="008D3AF8" w:rsidP="008D3AF8">
      <w:pPr>
        <w:shd w:val="clear" w:color="auto" w:fill="FFFFFF"/>
        <w:spacing w:before="196" w:after="0" w:line="360" w:lineRule="auto"/>
        <w:textAlignment w:val="baseline"/>
        <w:outlineLvl w:val="1"/>
        <w:rPr>
          <w:rFonts w:asciiTheme="minorHAnsi" w:eastAsia="Times New Roman" w:hAnsiTheme="minorHAnsi" w:cstheme="minorHAnsi"/>
          <w:color w:val="000000"/>
          <w:spacing w:val="-10"/>
          <w:sz w:val="24"/>
          <w:szCs w:val="24"/>
          <w:lang w:eastAsia="en-GB"/>
        </w:rPr>
      </w:pPr>
      <w:r>
        <w:rPr>
          <w:rFonts w:asciiTheme="minorHAnsi" w:eastAsia="Times New Roman" w:hAnsiTheme="minorHAnsi" w:cstheme="minorHAnsi"/>
          <w:color w:val="000000"/>
          <w:spacing w:val="-10"/>
          <w:sz w:val="24"/>
          <w:szCs w:val="24"/>
          <w:lang w:eastAsia="en-GB"/>
        </w:rPr>
        <w:t>In order to successfully complete the programme trainees must meet the assessment standards as outlined below in the “Regulation of Assessment” section of this document.</w:t>
      </w:r>
    </w:p>
    <w:p w14:paraId="37E0AA9E" w14:textId="77777777" w:rsidR="008D3AF8" w:rsidRDefault="008D3AF8" w:rsidP="008D3AF8">
      <w:pPr>
        <w:shd w:val="clear" w:color="auto" w:fill="FFFFFF"/>
        <w:spacing w:before="196" w:after="0" w:line="360" w:lineRule="auto"/>
        <w:textAlignment w:val="baseline"/>
        <w:outlineLvl w:val="1"/>
        <w:rPr>
          <w:rFonts w:asciiTheme="minorHAnsi" w:eastAsia="Times New Roman" w:hAnsiTheme="minorHAnsi" w:cstheme="minorHAnsi"/>
          <w:color w:val="000000"/>
          <w:spacing w:val="-10"/>
          <w:sz w:val="24"/>
          <w:szCs w:val="24"/>
          <w:lang w:eastAsia="en-GB"/>
        </w:rPr>
      </w:pPr>
      <w:r>
        <w:rPr>
          <w:rFonts w:asciiTheme="minorHAnsi" w:eastAsia="Times New Roman" w:hAnsiTheme="minorHAnsi" w:cstheme="minorHAnsi"/>
          <w:color w:val="000000"/>
          <w:spacing w:val="-10"/>
          <w:sz w:val="24"/>
          <w:szCs w:val="24"/>
          <w:lang w:eastAsia="en-GB"/>
        </w:rPr>
        <w:t>Trainees must also meet the standards set by the Health and Care Professions Council’s guidance on conduct and ethics for students</w:t>
      </w:r>
      <w:r w:rsidR="00E32099">
        <w:rPr>
          <w:rFonts w:asciiTheme="minorHAnsi" w:eastAsia="Times New Roman" w:hAnsiTheme="minorHAnsi" w:cstheme="minorHAnsi"/>
          <w:color w:val="000000"/>
          <w:spacing w:val="-10"/>
          <w:sz w:val="24"/>
          <w:szCs w:val="24"/>
          <w:lang w:eastAsia="en-GB"/>
        </w:rPr>
        <w:t>.</w:t>
      </w:r>
      <w:r>
        <w:rPr>
          <w:rFonts w:asciiTheme="minorHAnsi" w:eastAsia="Times New Roman" w:hAnsiTheme="minorHAnsi" w:cstheme="minorHAnsi"/>
          <w:color w:val="000000"/>
          <w:spacing w:val="-10"/>
          <w:sz w:val="24"/>
          <w:szCs w:val="24"/>
          <w:lang w:eastAsia="en-GB"/>
        </w:rPr>
        <w:t xml:space="preserve"> </w:t>
      </w:r>
    </w:p>
    <w:p w14:paraId="40FE3681" w14:textId="77777777" w:rsidR="008D3AF8" w:rsidRDefault="00000000" w:rsidP="008D3AF8">
      <w:pPr>
        <w:shd w:val="clear" w:color="auto" w:fill="FFFFFF"/>
        <w:spacing w:before="196" w:after="0" w:line="360" w:lineRule="auto"/>
        <w:textAlignment w:val="baseline"/>
        <w:outlineLvl w:val="1"/>
      </w:pPr>
      <w:hyperlink r:id="rId8" w:history="1">
        <w:r w:rsidR="008D3AF8">
          <w:rPr>
            <w:rStyle w:val="Hyperlink"/>
          </w:rPr>
          <w:t>https://www.hcpc-uk.org/globalassets/resources/guidance/guidance-on-conduct-and-ethics-for-students.pdf</w:t>
        </w:r>
      </w:hyperlink>
    </w:p>
    <w:p w14:paraId="737DDB29" w14:textId="2B54F749" w:rsidR="008D3AF8" w:rsidRDefault="008D3AF8" w:rsidP="008D3AF8">
      <w:pPr>
        <w:shd w:val="clear" w:color="auto" w:fill="FFFFFF"/>
        <w:spacing w:before="196" w:after="0" w:line="360" w:lineRule="auto"/>
        <w:textAlignment w:val="baseline"/>
        <w:outlineLvl w:val="1"/>
      </w:pPr>
      <w:r>
        <w:t>In addit</w:t>
      </w:r>
      <w:r w:rsidR="00E32099">
        <w:t>ion, trainees must evidence</w:t>
      </w:r>
      <w:r>
        <w:t xml:space="preserve"> their fitness </w:t>
      </w:r>
      <w:r w:rsidR="005835BC">
        <w:t xml:space="preserve">to </w:t>
      </w:r>
      <w:r>
        <w:t xml:space="preserve">practise throughout training. If questions are raised about their fitness to </w:t>
      </w:r>
      <w:r w:rsidR="00175D1E">
        <w:t>practise,</w:t>
      </w:r>
      <w:r>
        <w:t xml:space="preserve"> they may be subject to a fitness to practise referral</w:t>
      </w:r>
      <w:r w:rsidR="00175D1E">
        <w:t>.</w:t>
      </w:r>
    </w:p>
    <w:p w14:paraId="3E4DAE1A" w14:textId="77777777" w:rsidR="008D3AF8" w:rsidRPr="001F4450" w:rsidRDefault="00000000" w:rsidP="008D3AF8">
      <w:pPr>
        <w:shd w:val="clear" w:color="auto" w:fill="FFFFFF"/>
        <w:spacing w:before="196" w:after="0" w:line="360" w:lineRule="auto"/>
        <w:textAlignment w:val="baseline"/>
        <w:outlineLvl w:val="1"/>
        <w:rPr>
          <w:rFonts w:asciiTheme="minorHAnsi" w:eastAsia="Times New Roman" w:hAnsiTheme="minorHAnsi" w:cstheme="minorHAnsi"/>
          <w:color w:val="000000"/>
          <w:spacing w:val="-10"/>
          <w:sz w:val="24"/>
          <w:szCs w:val="24"/>
          <w:lang w:eastAsia="en-GB"/>
        </w:rPr>
      </w:pPr>
      <w:hyperlink r:id="rId9" w:history="1">
        <w:r w:rsidR="008D3AF8">
          <w:rPr>
            <w:rStyle w:val="Hyperlink"/>
          </w:rPr>
          <w:t>https://www.lancaster.ac.uk/shm/study/doctoral_study/dclinpsy/onlinehandbook/fitness_to_practice/</w:t>
        </w:r>
      </w:hyperlink>
    </w:p>
    <w:p w14:paraId="451CFF2D" w14:textId="77777777" w:rsidR="008D3AF8" w:rsidRPr="001F4450" w:rsidRDefault="008D3AF8" w:rsidP="008D3AF8">
      <w:pPr>
        <w:shd w:val="clear" w:color="auto" w:fill="FFFFFF"/>
        <w:spacing w:before="196" w:after="0" w:line="283" w:lineRule="atLeast"/>
        <w:textAlignment w:val="baseline"/>
        <w:outlineLvl w:val="1"/>
        <w:rPr>
          <w:rFonts w:asciiTheme="minorHAnsi" w:eastAsia="Times New Roman" w:hAnsiTheme="minorHAnsi" w:cstheme="minorHAnsi"/>
          <w:b/>
          <w:color w:val="000000"/>
          <w:spacing w:val="-10"/>
          <w:sz w:val="32"/>
          <w:szCs w:val="32"/>
          <w:lang w:eastAsia="en-GB"/>
        </w:rPr>
      </w:pPr>
      <w:r w:rsidRPr="001F4450">
        <w:rPr>
          <w:rFonts w:asciiTheme="minorHAnsi" w:eastAsia="Times New Roman" w:hAnsiTheme="minorHAnsi" w:cstheme="minorHAnsi"/>
          <w:b/>
          <w:color w:val="000000"/>
          <w:spacing w:val="-10"/>
          <w:sz w:val="32"/>
          <w:szCs w:val="32"/>
          <w:lang w:eastAsia="en-GB"/>
        </w:rPr>
        <w:t>Regulation of Assessment</w:t>
      </w:r>
    </w:p>
    <w:p w14:paraId="04763220" w14:textId="36104EC8" w:rsidR="008D3AF8" w:rsidRDefault="008D3AF8" w:rsidP="008D3AF8">
      <w:pPr>
        <w:shd w:val="clear" w:color="auto" w:fill="FFFFFF"/>
        <w:spacing w:before="332" w:after="0" w:line="332" w:lineRule="atLeast"/>
        <w:textAlignment w:val="baseline"/>
        <w:rPr>
          <w:rFonts w:asciiTheme="minorHAnsi" w:eastAsia="Times New Roman" w:hAnsiTheme="minorHAnsi" w:cstheme="minorHAnsi"/>
          <w:color w:val="1D1D1D"/>
          <w:sz w:val="24"/>
          <w:szCs w:val="24"/>
          <w:lang w:eastAsia="en-GB"/>
        </w:rPr>
      </w:pPr>
      <w:r w:rsidRPr="001F4450">
        <w:rPr>
          <w:rFonts w:asciiTheme="minorHAnsi" w:eastAsia="Times New Roman" w:hAnsiTheme="minorHAnsi" w:cstheme="minorHAnsi"/>
          <w:color w:val="1D1D1D"/>
          <w:sz w:val="24"/>
          <w:szCs w:val="24"/>
          <w:lang w:eastAsia="en-GB"/>
        </w:rPr>
        <w:t>Examination and assessment regulations are contained in full within the University Examinations Regulations. However, given that the Doctorate in Clinical Psychology has an unusual structure, particular details of the assessment regulations are reproduced below</w:t>
      </w:r>
      <w:r w:rsidR="00E43E43">
        <w:rPr>
          <w:rFonts w:asciiTheme="minorHAnsi" w:eastAsia="Times New Roman" w:hAnsiTheme="minorHAnsi" w:cstheme="minorHAnsi"/>
          <w:color w:val="1D1D1D"/>
          <w:sz w:val="24"/>
          <w:szCs w:val="24"/>
          <w:lang w:eastAsia="en-GB"/>
        </w:rPr>
        <w:t xml:space="preserve">. </w:t>
      </w:r>
    </w:p>
    <w:p w14:paraId="444A03AF" w14:textId="384FB390" w:rsidR="00D15BC6" w:rsidRPr="005D0FFC" w:rsidRDefault="00D15BC6" w:rsidP="00D15BC6">
      <w:pPr>
        <w:shd w:val="clear" w:color="auto" w:fill="FFFFFF"/>
        <w:spacing w:before="332" w:after="0" w:line="332" w:lineRule="atLeast"/>
        <w:textAlignment w:val="baseline"/>
        <w:rPr>
          <w:rFonts w:asciiTheme="minorHAnsi" w:eastAsia="Times New Roman" w:hAnsiTheme="minorHAnsi" w:cstheme="minorHAnsi"/>
          <w:b/>
          <w:color w:val="1D1D1D"/>
          <w:sz w:val="24"/>
          <w:szCs w:val="24"/>
          <w:lang w:eastAsia="en-GB"/>
        </w:rPr>
      </w:pPr>
      <w:r w:rsidRPr="005D0FFC">
        <w:rPr>
          <w:rFonts w:asciiTheme="minorHAnsi" w:eastAsia="Times New Roman" w:hAnsiTheme="minorHAnsi" w:cstheme="minorHAnsi"/>
          <w:b/>
          <w:color w:val="1D1D1D"/>
          <w:sz w:val="24"/>
          <w:szCs w:val="24"/>
          <w:lang w:eastAsia="en-GB"/>
        </w:rPr>
        <w:t>Scheme of assessment</w:t>
      </w:r>
    </w:p>
    <w:p w14:paraId="1BAF9132" w14:textId="3E95159B" w:rsidR="00231E2A" w:rsidRPr="001F4450" w:rsidRDefault="00231E2A" w:rsidP="00231E2A">
      <w:pPr>
        <w:shd w:val="clear" w:color="auto" w:fill="FFFFFF"/>
        <w:spacing w:before="332" w:after="0" w:line="332" w:lineRule="atLeast"/>
        <w:textAlignment w:val="baseline"/>
        <w:rPr>
          <w:rFonts w:asciiTheme="minorHAnsi" w:eastAsia="Times New Roman" w:hAnsiTheme="minorHAnsi" w:cstheme="minorHAnsi"/>
          <w:color w:val="1D1D1D"/>
          <w:sz w:val="24"/>
          <w:szCs w:val="24"/>
          <w:lang w:eastAsia="en-GB"/>
        </w:rPr>
      </w:pPr>
      <w:r w:rsidRPr="001F4450">
        <w:rPr>
          <w:rFonts w:asciiTheme="minorHAnsi" w:eastAsia="Times New Roman" w:hAnsiTheme="minorHAnsi" w:cstheme="minorHAnsi"/>
          <w:color w:val="1D1D1D"/>
          <w:sz w:val="24"/>
          <w:szCs w:val="24"/>
          <w:lang w:eastAsia="en-GB"/>
        </w:rPr>
        <w:t>From 2018 cohort onwards, to obtain the award students are required to complete all three elements of the programme. These comprise</w:t>
      </w:r>
      <w:r>
        <w:rPr>
          <w:rFonts w:asciiTheme="minorHAnsi" w:eastAsia="Times New Roman" w:hAnsiTheme="minorHAnsi" w:cstheme="minorHAnsi"/>
          <w:color w:val="1D1D1D"/>
          <w:sz w:val="24"/>
          <w:szCs w:val="24"/>
          <w:lang w:eastAsia="en-GB"/>
        </w:rPr>
        <w:t xml:space="preserve">: </w:t>
      </w:r>
    </w:p>
    <w:p w14:paraId="1EA78A7E" w14:textId="6ABB0BDC" w:rsidR="00D15BC6" w:rsidRPr="005D0FFC" w:rsidRDefault="00D15BC6" w:rsidP="005D0FFC">
      <w:pPr>
        <w:pStyle w:val="ListParagraph"/>
        <w:numPr>
          <w:ilvl w:val="0"/>
          <w:numId w:val="3"/>
        </w:numPr>
        <w:spacing w:before="100" w:beforeAutospacing="1" w:after="100" w:afterAutospacing="1" w:line="240" w:lineRule="auto"/>
        <w:rPr>
          <w:rFonts w:asciiTheme="minorHAnsi" w:eastAsia="Times New Roman" w:hAnsiTheme="minorHAnsi" w:cstheme="minorHAnsi"/>
          <w:sz w:val="24"/>
          <w:szCs w:val="24"/>
          <w:lang w:eastAsia="en-GB"/>
        </w:rPr>
      </w:pPr>
      <w:r w:rsidRPr="005D0FFC">
        <w:rPr>
          <w:rFonts w:asciiTheme="minorHAnsi" w:eastAsia="Times New Roman" w:hAnsiTheme="minorHAnsi" w:cstheme="minorHAnsi"/>
          <w:sz w:val="24"/>
          <w:szCs w:val="24"/>
          <w:lang w:eastAsia="en-GB"/>
        </w:rPr>
        <w:t>All five (for trainees in 2018-2020 cohorts) or three (</w:t>
      </w:r>
      <w:r w:rsidR="004E5962" w:rsidRPr="005D0FFC">
        <w:rPr>
          <w:rFonts w:asciiTheme="minorHAnsi" w:eastAsia="Times New Roman" w:hAnsiTheme="minorHAnsi" w:cstheme="minorHAnsi"/>
          <w:sz w:val="24"/>
          <w:szCs w:val="24"/>
          <w:lang w:eastAsia="en-GB"/>
        </w:rPr>
        <w:t>for</w:t>
      </w:r>
      <w:r w:rsidRPr="005D0FFC">
        <w:rPr>
          <w:rFonts w:asciiTheme="minorHAnsi" w:eastAsia="Times New Roman" w:hAnsiTheme="minorHAnsi" w:cstheme="minorHAnsi"/>
          <w:sz w:val="24"/>
          <w:szCs w:val="24"/>
          <w:lang w:eastAsia="en-GB"/>
        </w:rPr>
        <w:t xml:space="preserve"> trainees in 2021 cohort onwards) clinical placements </w:t>
      </w:r>
    </w:p>
    <w:p w14:paraId="7B39A4A7" w14:textId="15EC0A96" w:rsidR="00231E2A" w:rsidRPr="005D0FFC" w:rsidRDefault="00D15BC6" w:rsidP="005D0FFC">
      <w:pPr>
        <w:pStyle w:val="ListParagraph"/>
        <w:numPr>
          <w:ilvl w:val="0"/>
          <w:numId w:val="3"/>
        </w:numPr>
        <w:shd w:val="clear" w:color="auto" w:fill="FFFFFF"/>
        <w:spacing w:before="225" w:after="225" w:line="360" w:lineRule="atLeast"/>
        <w:textAlignment w:val="baseline"/>
        <w:rPr>
          <w:rFonts w:asciiTheme="minorHAnsi" w:eastAsia="Times New Roman" w:hAnsiTheme="minorHAnsi" w:cstheme="minorHAnsi"/>
          <w:color w:val="1D1D1D"/>
          <w:sz w:val="24"/>
          <w:szCs w:val="24"/>
          <w:lang w:eastAsia="en-GB"/>
        </w:rPr>
      </w:pPr>
      <w:r w:rsidRPr="005D0FFC">
        <w:rPr>
          <w:rFonts w:asciiTheme="minorHAnsi" w:eastAsia="Times New Roman" w:hAnsiTheme="minorHAnsi" w:cstheme="minorHAnsi"/>
          <w:color w:val="1D1D1D"/>
          <w:sz w:val="24"/>
          <w:szCs w:val="24"/>
          <w:lang w:eastAsia="en-GB"/>
        </w:rPr>
        <w:t xml:space="preserve">Passing </w:t>
      </w:r>
      <w:r w:rsidR="00231E2A" w:rsidRPr="005D0FFC">
        <w:rPr>
          <w:rFonts w:asciiTheme="minorHAnsi" w:eastAsia="Times New Roman" w:hAnsiTheme="minorHAnsi" w:cstheme="minorHAnsi"/>
          <w:color w:val="1D1D1D"/>
          <w:sz w:val="24"/>
          <w:szCs w:val="24"/>
          <w:lang w:eastAsia="en-GB"/>
        </w:rPr>
        <w:t>all seven coursework assignments</w:t>
      </w:r>
      <w:r w:rsidRPr="005D0FFC">
        <w:rPr>
          <w:rFonts w:asciiTheme="minorHAnsi" w:eastAsia="Times New Roman" w:hAnsiTheme="minorHAnsi" w:cstheme="minorHAnsi"/>
          <w:color w:val="1D1D1D"/>
          <w:sz w:val="24"/>
          <w:szCs w:val="24"/>
          <w:lang w:eastAsia="en-GB"/>
        </w:rPr>
        <w:t>.</w:t>
      </w:r>
    </w:p>
    <w:p w14:paraId="6D6E8810" w14:textId="6F2CBCA0" w:rsidR="00231E2A" w:rsidRPr="005D0FFC" w:rsidRDefault="00231E2A" w:rsidP="005D0FFC">
      <w:pPr>
        <w:pStyle w:val="ListParagraph"/>
        <w:numPr>
          <w:ilvl w:val="0"/>
          <w:numId w:val="3"/>
        </w:numPr>
        <w:shd w:val="clear" w:color="auto" w:fill="FFFFFF"/>
        <w:spacing w:before="225" w:after="225" w:line="360" w:lineRule="atLeast"/>
        <w:textAlignment w:val="baseline"/>
        <w:rPr>
          <w:rFonts w:asciiTheme="minorHAnsi" w:eastAsia="Times New Roman" w:hAnsiTheme="minorHAnsi" w:cstheme="minorHAnsi"/>
          <w:color w:val="1D1D1D"/>
          <w:sz w:val="24"/>
          <w:szCs w:val="24"/>
          <w:lang w:eastAsia="en-GB"/>
        </w:rPr>
      </w:pPr>
      <w:r w:rsidRPr="005D0FFC">
        <w:rPr>
          <w:rFonts w:asciiTheme="minorHAnsi" w:eastAsia="Times New Roman" w:hAnsiTheme="minorHAnsi" w:cstheme="minorHAnsi"/>
          <w:color w:val="1D1D1D"/>
          <w:sz w:val="24"/>
          <w:szCs w:val="24"/>
          <w:lang w:eastAsia="en-GB"/>
        </w:rPr>
        <w:t>A doctoral thesis.</w:t>
      </w:r>
    </w:p>
    <w:p w14:paraId="4466AF25" w14:textId="1B5ED49E" w:rsidR="00231E2A" w:rsidRPr="001F4450" w:rsidRDefault="00231E2A" w:rsidP="00231E2A">
      <w:pPr>
        <w:shd w:val="clear" w:color="auto" w:fill="FFFFFF"/>
        <w:spacing w:before="332" w:after="0" w:line="332" w:lineRule="atLeast"/>
        <w:textAlignment w:val="baseline"/>
        <w:rPr>
          <w:rFonts w:asciiTheme="minorHAnsi" w:eastAsia="Times New Roman" w:hAnsiTheme="minorHAnsi" w:cstheme="minorHAnsi"/>
          <w:color w:val="1D1D1D"/>
          <w:sz w:val="24"/>
          <w:szCs w:val="24"/>
          <w:lang w:eastAsia="en-GB"/>
        </w:rPr>
      </w:pPr>
      <w:r w:rsidRPr="001F4450">
        <w:rPr>
          <w:rFonts w:asciiTheme="minorHAnsi" w:eastAsia="Times New Roman" w:hAnsiTheme="minorHAnsi" w:cstheme="minorHAnsi"/>
          <w:color w:val="1D1D1D"/>
          <w:sz w:val="24"/>
          <w:szCs w:val="24"/>
          <w:lang w:eastAsia="en-GB"/>
        </w:rPr>
        <w:lastRenderedPageBreak/>
        <w:t>Coursework and evaluation of clinical placements are considered at regular programme examination board meetings. The thesis is examined towards the end of the three years.</w:t>
      </w:r>
    </w:p>
    <w:p w14:paraId="523D9302" w14:textId="19F947FE" w:rsidR="00E43E43" w:rsidRDefault="00231E2A" w:rsidP="00231E2A">
      <w:pPr>
        <w:shd w:val="clear" w:color="auto" w:fill="FFFFFF"/>
        <w:spacing w:before="308" w:after="0" w:line="308" w:lineRule="atLeast"/>
        <w:textAlignment w:val="baseline"/>
        <w:outlineLvl w:val="3"/>
        <w:rPr>
          <w:rFonts w:asciiTheme="minorHAnsi" w:eastAsia="Times New Roman" w:hAnsiTheme="minorHAnsi" w:cstheme="minorHAnsi"/>
          <w:b/>
          <w:bCs/>
          <w:color w:val="1D1D1D"/>
          <w:sz w:val="24"/>
          <w:szCs w:val="24"/>
          <w:lang w:eastAsia="en-GB"/>
        </w:rPr>
      </w:pPr>
      <w:r w:rsidRPr="001F4450">
        <w:rPr>
          <w:rFonts w:asciiTheme="minorHAnsi" w:eastAsia="Times New Roman" w:hAnsiTheme="minorHAnsi" w:cstheme="minorHAnsi"/>
          <w:b/>
          <w:bCs/>
          <w:color w:val="1D1D1D"/>
          <w:sz w:val="24"/>
          <w:szCs w:val="24"/>
          <w:lang w:eastAsia="en-GB"/>
        </w:rPr>
        <w:t>Requirements for pass</w:t>
      </w:r>
    </w:p>
    <w:p w14:paraId="70286575" w14:textId="77777777" w:rsidR="00E43E43" w:rsidRPr="001F4450" w:rsidRDefault="00E43E43" w:rsidP="00231E2A">
      <w:pPr>
        <w:shd w:val="clear" w:color="auto" w:fill="FFFFFF"/>
        <w:spacing w:before="308" w:after="0" w:line="308" w:lineRule="atLeast"/>
        <w:textAlignment w:val="baseline"/>
        <w:outlineLvl w:val="3"/>
        <w:rPr>
          <w:rFonts w:asciiTheme="minorHAnsi" w:eastAsia="Times New Roman" w:hAnsiTheme="minorHAnsi" w:cstheme="minorHAnsi"/>
          <w:b/>
          <w:bCs/>
          <w:color w:val="1D1D1D"/>
          <w:sz w:val="24"/>
          <w:szCs w:val="24"/>
          <w:lang w:eastAsia="en-GB"/>
        </w:rPr>
      </w:pPr>
    </w:p>
    <w:p w14:paraId="4051B6EF" w14:textId="46F0F086" w:rsidR="00231E2A" w:rsidRPr="00E43E43" w:rsidRDefault="00D15BC6" w:rsidP="00231E2A">
      <w:pPr>
        <w:shd w:val="clear" w:color="auto" w:fill="FFFFFF"/>
        <w:spacing w:after="0" w:line="332" w:lineRule="atLeast"/>
        <w:textAlignment w:val="baseline"/>
        <w:rPr>
          <w:rFonts w:asciiTheme="minorHAnsi" w:eastAsia="Times New Roman" w:hAnsiTheme="minorHAnsi" w:cstheme="minorHAnsi"/>
          <w:bCs/>
          <w:color w:val="1D1D1D"/>
          <w:sz w:val="24"/>
          <w:szCs w:val="24"/>
          <w:lang w:eastAsia="en-GB"/>
        </w:rPr>
      </w:pPr>
      <w:r w:rsidRPr="00E43E43">
        <w:rPr>
          <w:rFonts w:asciiTheme="minorHAnsi" w:eastAsia="Times New Roman" w:hAnsiTheme="minorHAnsi" w:cstheme="minorHAnsi"/>
          <w:b/>
          <w:bCs/>
          <w:i/>
          <w:iCs/>
          <w:color w:val="1D1D1D"/>
          <w:sz w:val="24"/>
          <w:szCs w:val="24"/>
          <w:bdr w:val="none" w:sz="0" w:space="0" w:color="auto" w:frame="1"/>
          <w:lang w:eastAsia="en-GB"/>
        </w:rPr>
        <w:t xml:space="preserve">Clinical placements: </w:t>
      </w:r>
      <w:r w:rsidRPr="00D15BC6">
        <w:rPr>
          <w:rFonts w:asciiTheme="minorHAnsi" w:eastAsia="Times New Roman" w:hAnsiTheme="minorHAnsi" w:cstheme="minorHAnsi"/>
          <w:b/>
          <w:bCs/>
          <w:color w:val="1D1D1D"/>
          <w:sz w:val="24"/>
          <w:szCs w:val="24"/>
          <w:bdr w:val="none" w:sz="0" w:space="0" w:color="auto" w:frame="1"/>
          <w:lang w:eastAsia="en-GB"/>
        </w:rPr>
        <w:t xml:space="preserve">Students </w:t>
      </w:r>
      <w:r w:rsidR="00E43E43">
        <w:rPr>
          <w:rFonts w:asciiTheme="minorHAnsi" w:eastAsia="Times New Roman" w:hAnsiTheme="minorHAnsi" w:cstheme="minorHAnsi"/>
          <w:b/>
          <w:bCs/>
          <w:color w:val="1D1D1D"/>
          <w:sz w:val="24"/>
          <w:szCs w:val="24"/>
          <w:bdr w:val="none" w:sz="0" w:space="0" w:color="auto" w:frame="1"/>
          <w:lang w:eastAsia="en-GB"/>
        </w:rPr>
        <w:t xml:space="preserve">up to the </w:t>
      </w:r>
      <w:r w:rsidRPr="00D15BC6">
        <w:rPr>
          <w:rFonts w:asciiTheme="minorHAnsi" w:eastAsia="Times New Roman" w:hAnsiTheme="minorHAnsi" w:cstheme="minorHAnsi"/>
          <w:b/>
          <w:bCs/>
          <w:color w:val="1D1D1D"/>
          <w:sz w:val="24"/>
          <w:szCs w:val="24"/>
          <w:bdr w:val="none" w:sz="0" w:space="0" w:color="auto" w:frame="1"/>
          <w:lang w:eastAsia="en-GB"/>
        </w:rPr>
        <w:t>2020 cohort undertake five clinical placements, and students in the 2021 cohort onwards undertake three (usually longer) placements.</w:t>
      </w:r>
      <w:r w:rsidR="00231E2A" w:rsidRPr="001F4450">
        <w:rPr>
          <w:rFonts w:asciiTheme="minorHAnsi" w:eastAsia="Times New Roman" w:hAnsiTheme="minorHAnsi" w:cstheme="minorHAnsi"/>
          <w:color w:val="1D1D1D"/>
          <w:sz w:val="24"/>
          <w:szCs w:val="24"/>
          <w:lang w:eastAsia="en-GB"/>
        </w:rPr>
        <w:t xml:space="preserve"> In the event of a placement failure, the student may be required to re-take the placement (and completion of the programme may be extended accordingly). Students who fail more than one placement are deemed to have failed the programme and are not allowed to proceed.</w:t>
      </w:r>
      <w:r w:rsidR="00231E2A">
        <w:rPr>
          <w:rFonts w:asciiTheme="minorHAnsi" w:eastAsia="Times New Roman" w:hAnsiTheme="minorHAnsi" w:cstheme="minorHAnsi"/>
          <w:color w:val="1D1D1D"/>
          <w:sz w:val="24"/>
          <w:szCs w:val="24"/>
          <w:lang w:eastAsia="en-GB"/>
        </w:rPr>
        <w:t xml:space="preserve"> </w:t>
      </w:r>
      <w:r w:rsidR="00231E2A" w:rsidRPr="00E43E43">
        <w:rPr>
          <w:rFonts w:asciiTheme="minorHAnsi" w:eastAsia="Times New Roman" w:hAnsiTheme="minorHAnsi" w:cstheme="minorHAnsi"/>
          <w:bCs/>
          <w:color w:val="1D1D1D"/>
          <w:sz w:val="24"/>
          <w:szCs w:val="24"/>
          <w:lang w:eastAsia="en-GB"/>
        </w:rPr>
        <w:t xml:space="preserve">It must be noted that although supervisors make recommendations on whether a placement has been satisfactorily or unsatisfactorily completed in the Supervisors Assessment of Trainee form, it is the examination board who ultimately makes this decision and communicates the outcome to trainees. </w:t>
      </w:r>
    </w:p>
    <w:p w14:paraId="19E3B808" w14:textId="77777777" w:rsidR="00231E2A" w:rsidRPr="001F4450" w:rsidRDefault="00231E2A" w:rsidP="00231E2A">
      <w:pPr>
        <w:shd w:val="clear" w:color="auto" w:fill="FFFFFF"/>
        <w:spacing w:after="0" w:line="332" w:lineRule="atLeast"/>
        <w:textAlignment w:val="baseline"/>
        <w:rPr>
          <w:rFonts w:asciiTheme="minorHAnsi" w:eastAsia="Times New Roman" w:hAnsiTheme="minorHAnsi" w:cstheme="minorHAnsi"/>
          <w:color w:val="1D1D1D"/>
          <w:sz w:val="24"/>
          <w:szCs w:val="24"/>
          <w:lang w:eastAsia="en-GB"/>
        </w:rPr>
      </w:pPr>
    </w:p>
    <w:p w14:paraId="5017D024" w14:textId="069BF409" w:rsidR="00231E2A" w:rsidRPr="001F4450" w:rsidRDefault="00231E2A" w:rsidP="00231E2A">
      <w:pPr>
        <w:shd w:val="clear" w:color="auto" w:fill="FFFFFF"/>
        <w:spacing w:after="0" w:line="332" w:lineRule="atLeast"/>
        <w:textAlignment w:val="baseline"/>
        <w:rPr>
          <w:rFonts w:asciiTheme="minorHAnsi" w:eastAsia="Times New Roman" w:hAnsiTheme="minorHAnsi" w:cstheme="minorHAnsi"/>
          <w:color w:val="1D1D1D"/>
          <w:sz w:val="24"/>
          <w:szCs w:val="24"/>
          <w:lang w:eastAsia="en-GB"/>
        </w:rPr>
      </w:pPr>
      <w:r w:rsidRPr="00E43E43">
        <w:rPr>
          <w:rFonts w:asciiTheme="minorHAnsi" w:eastAsia="Times New Roman" w:hAnsiTheme="minorHAnsi" w:cstheme="minorHAnsi"/>
          <w:b/>
          <w:bCs/>
          <w:i/>
          <w:iCs/>
          <w:color w:val="1D1D1D"/>
          <w:sz w:val="24"/>
          <w:szCs w:val="24"/>
          <w:bdr w:val="none" w:sz="0" w:space="0" w:color="auto" w:frame="1"/>
          <w:lang w:eastAsia="en-GB"/>
        </w:rPr>
        <w:t>Coursework</w:t>
      </w:r>
      <w:r w:rsidR="002405FD">
        <w:rPr>
          <w:rFonts w:asciiTheme="minorHAnsi" w:eastAsia="Times New Roman" w:hAnsiTheme="minorHAnsi" w:cstheme="minorHAnsi"/>
          <w:b/>
          <w:bCs/>
          <w:i/>
          <w:iCs/>
          <w:color w:val="1D1D1D"/>
          <w:sz w:val="24"/>
          <w:szCs w:val="24"/>
          <w:bdr w:val="none" w:sz="0" w:space="0" w:color="auto" w:frame="1"/>
          <w:lang w:eastAsia="en-GB"/>
        </w:rPr>
        <w:t>:</w:t>
      </w:r>
      <w:r w:rsidR="00E43E43">
        <w:rPr>
          <w:rStyle w:val="FootnoteReference"/>
          <w:rFonts w:asciiTheme="minorHAnsi" w:eastAsia="Times New Roman" w:hAnsiTheme="minorHAnsi" w:cstheme="minorHAnsi"/>
          <w:b/>
          <w:bCs/>
          <w:i/>
          <w:iCs/>
          <w:color w:val="1D1D1D"/>
          <w:sz w:val="24"/>
          <w:szCs w:val="24"/>
          <w:bdr w:val="none" w:sz="0" w:space="0" w:color="auto" w:frame="1"/>
          <w:lang w:eastAsia="en-GB"/>
        </w:rPr>
        <w:footnoteReference w:id="1"/>
      </w:r>
      <w:r w:rsidRPr="001F4450">
        <w:rPr>
          <w:rFonts w:asciiTheme="minorHAnsi" w:eastAsia="Times New Roman" w:hAnsiTheme="minorHAnsi" w:cstheme="minorHAnsi"/>
          <w:color w:val="1D1D1D"/>
          <w:sz w:val="24"/>
          <w:szCs w:val="24"/>
          <w:lang w:eastAsia="en-GB"/>
        </w:rPr>
        <w:t xml:space="preserve"> The student is required to pass </w:t>
      </w:r>
      <w:r w:rsidR="00D15BC6">
        <w:rPr>
          <w:rFonts w:asciiTheme="minorHAnsi" w:eastAsia="Times New Roman" w:hAnsiTheme="minorHAnsi" w:cstheme="minorHAnsi"/>
          <w:color w:val="1D1D1D"/>
          <w:sz w:val="24"/>
          <w:szCs w:val="24"/>
          <w:lang w:eastAsia="en-GB"/>
        </w:rPr>
        <w:t xml:space="preserve">all </w:t>
      </w:r>
      <w:r w:rsidRPr="001F4450">
        <w:rPr>
          <w:rFonts w:asciiTheme="minorHAnsi" w:eastAsia="Times New Roman" w:hAnsiTheme="minorHAnsi" w:cstheme="minorHAnsi"/>
          <w:color w:val="1D1D1D"/>
          <w:sz w:val="24"/>
          <w:szCs w:val="24"/>
          <w:lang w:eastAsia="en-GB"/>
        </w:rPr>
        <w:t>seven distinct pieces of assessed coursework: one self-assessment exercise, one Placement Assignment (Service Evaluation) project, one Service Improvement Poster Presentation, one Thesis Preparation Assignment and three Placement Assignments (Live Skills)</w:t>
      </w:r>
      <w:r w:rsidR="00E43E43">
        <w:rPr>
          <w:rFonts w:asciiTheme="minorHAnsi" w:eastAsia="Times New Roman" w:hAnsiTheme="minorHAnsi" w:cstheme="minorHAnsi"/>
          <w:color w:val="1D1D1D"/>
          <w:sz w:val="24"/>
          <w:szCs w:val="24"/>
          <w:lang w:eastAsia="en-GB"/>
        </w:rPr>
        <w:t xml:space="preserve"> – one each at levels on two and three</w:t>
      </w:r>
      <w:r w:rsidRPr="001F4450">
        <w:rPr>
          <w:rFonts w:asciiTheme="minorHAnsi" w:eastAsia="Times New Roman" w:hAnsiTheme="minorHAnsi" w:cstheme="minorHAnsi"/>
          <w:color w:val="1D1D1D"/>
          <w:sz w:val="24"/>
          <w:szCs w:val="24"/>
          <w:lang w:eastAsia="en-GB"/>
        </w:rPr>
        <w:t>.</w:t>
      </w:r>
    </w:p>
    <w:p w14:paraId="08373A06" w14:textId="77777777" w:rsidR="005D0FFC" w:rsidRDefault="00D15BC6" w:rsidP="00231E2A">
      <w:pPr>
        <w:shd w:val="clear" w:color="auto" w:fill="FFFFFF"/>
        <w:spacing w:after="0" w:line="332" w:lineRule="atLeast"/>
        <w:textAlignment w:val="baseline"/>
        <w:rPr>
          <w:rFonts w:asciiTheme="minorHAnsi" w:eastAsia="Times New Roman" w:hAnsiTheme="minorHAnsi" w:cstheme="minorHAnsi"/>
          <w:color w:val="1D1D1D"/>
          <w:sz w:val="24"/>
          <w:szCs w:val="24"/>
          <w:lang w:eastAsia="en-GB"/>
        </w:rPr>
      </w:pPr>
      <w:r w:rsidRPr="00D15BC6">
        <w:rPr>
          <w:rFonts w:asciiTheme="minorHAnsi" w:eastAsia="Times New Roman" w:hAnsiTheme="minorHAnsi" w:cstheme="minorHAnsi"/>
          <w:color w:val="1D1D1D"/>
          <w:sz w:val="24"/>
          <w:szCs w:val="24"/>
          <w:lang w:eastAsia="en-GB"/>
        </w:rPr>
        <w:t>If a student fails all allowed submission attempts of a given assignment, then they are deemed to have failed the programme and is not allowed to proceed.</w:t>
      </w:r>
    </w:p>
    <w:p w14:paraId="760EBA44" w14:textId="77777777" w:rsidR="005D0FFC" w:rsidRDefault="005D0FFC" w:rsidP="00231E2A">
      <w:pPr>
        <w:shd w:val="clear" w:color="auto" w:fill="FFFFFF"/>
        <w:spacing w:after="0" w:line="332" w:lineRule="atLeast"/>
        <w:textAlignment w:val="baseline"/>
        <w:rPr>
          <w:rFonts w:asciiTheme="minorHAnsi" w:eastAsia="Times New Roman" w:hAnsiTheme="minorHAnsi" w:cstheme="minorHAnsi"/>
          <w:b/>
          <w:bCs/>
          <w:color w:val="1D1D1D"/>
          <w:sz w:val="24"/>
          <w:szCs w:val="24"/>
          <w:bdr w:val="none" w:sz="0" w:space="0" w:color="auto" w:frame="1"/>
          <w:lang w:eastAsia="en-GB"/>
        </w:rPr>
      </w:pPr>
    </w:p>
    <w:p w14:paraId="4C5569E8" w14:textId="49B9C02F" w:rsidR="00231E2A" w:rsidRPr="001F4450" w:rsidRDefault="00231E2A" w:rsidP="00231E2A">
      <w:pPr>
        <w:shd w:val="clear" w:color="auto" w:fill="FFFFFF"/>
        <w:spacing w:after="0" w:line="332" w:lineRule="atLeast"/>
        <w:textAlignment w:val="baseline"/>
        <w:rPr>
          <w:rFonts w:asciiTheme="minorHAnsi" w:eastAsia="Times New Roman" w:hAnsiTheme="minorHAnsi" w:cstheme="minorHAnsi"/>
          <w:color w:val="1D1D1D"/>
          <w:sz w:val="24"/>
          <w:szCs w:val="24"/>
          <w:lang w:eastAsia="en-GB"/>
        </w:rPr>
      </w:pPr>
      <w:r w:rsidRPr="00E43E43">
        <w:rPr>
          <w:rFonts w:asciiTheme="minorHAnsi" w:eastAsia="Times New Roman" w:hAnsiTheme="minorHAnsi" w:cstheme="minorHAnsi"/>
          <w:b/>
          <w:bCs/>
          <w:i/>
          <w:iCs/>
          <w:color w:val="1D1D1D"/>
          <w:sz w:val="24"/>
          <w:szCs w:val="24"/>
          <w:bdr w:val="none" w:sz="0" w:space="0" w:color="auto" w:frame="1"/>
          <w:lang w:eastAsia="en-GB"/>
        </w:rPr>
        <w:t>Thesis</w:t>
      </w:r>
      <w:r w:rsidRPr="00E43E43">
        <w:rPr>
          <w:rFonts w:asciiTheme="minorHAnsi" w:eastAsia="Times New Roman" w:hAnsiTheme="minorHAnsi" w:cstheme="minorHAnsi"/>
          <w:i/>
          <w:iCs/>
          <w:color w:val="1D1D1D"/>
          <w:sz w:val="24"/>
          <w:szCs w:val="24"/>
          <w:lang w:eastAsia="en-GB"/>
        </w:rPr>
        <w:t xml:space="preserve">: </w:t>
      </w:r>
      <w:r w:rsidRPr="001F4450">
        <w:rPr>
          <w:rFonts w:asciiTheme="minorHAnsi" w:eastAsia="Times New Roman" w:hAnsiTheme="minorHAnsi" w:cstheme="minorHAnsi"/>
          <w:color w:val="1D1D1D"/>
          <w:sz w:val="24"/>
          <w:szCs w:val="24"/>
          <w:lang w:eastAsia="en-GB"/>
        </w:rPr>
        <w:t>This is examined in accordance with the University regulations for doctoral theses.</w:t>
      </w:r>
    </w:p>
    <w:p w14:paraId="5C69CA7E" w14:textId="77777777" w:rsidR="005835BC" w:rsidRPr="002D0A56" w:rsidRDefault="005835BC" w:rsidP="002D0A56"/>
    <w:sectPr w:rsidR="005835BC" w:rsidRPr="002D0A5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993B" w14:textId="77777777" w:rsidR="00E4356C" w:rsidRDefault="00E4356C" w:rsidP="005117BB">
      <w:pPr>
        <w:spacing w:after="0" w:line="240" w:lineRule="auto"/>
      </w:pPr>
      <w:r>
        <w:separator/>
      </w:r>
    </w:p>
  </w:endnote>
  <w:endnote w:type="continuationSeparator" w:id="0">
    <w:p w14:paraId="2357E68B" w14:textId="77777777" w:rsidR="00E4356C" w:rsidRDefault="00E4356C" w:rsidP="0051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13117"/>
      <w:docPartObj>
        <w:docPartGallery w:val="Page Numbers (Bottom of Page)"/>
        <w:docPartUnique/>
      </w:docPartObj>
    </w:sdtPr>
    <w:sdtEndPr>
      <w:rPr>
        <w:noProof/>
      </w:rPr>
    </w:sdtEndPr>
    <w:sdtContent>
      <w:p w14:paraId="05F8FDD3" w14:textId="77777777" w:rsidR="00380837" w:rsidRDefault="0038083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C2E3B21" w14:textId="77777777" w:rsidR="00380837" w:rsidRDefault="00380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05CB" w14:textId="77777777" w:rsidR="00E4356C" w:rsidRDefault="00E4356C" w:rsidP="005117BB">
      <w:pPr>
        <w:spacing w:after="0" w:line="240" w:lineRule="auto"/>
      </w:pPr>
      <w:r>
        <w:separator/>
      </w:r>
    </w:p>
  </w:footnote>
  <w:footnote w:type="continuationSeparator" w:id="0">
    <w:p w14:paraId="5F750AE2" w14:textId="77777777" w:rsidR="00E4356C" w:rsidRDefault="00E4356C" w:rsidP="005117BB">
      <w:pPr>
        <w:spacing w:after="0" w:line="240" w:lineRule="auto"/>
      </w:pPr>
      <w:r>
        <w:continuationSeparator/>
      </w:r>
    </w:p>
  </w:footnote>
  <w:footnote w:id="1">
    <w:p w14:paraId="33D9D15A" w14:textId="262A4495" w:rsidR="00E43E43" w:rsidRPr="00E43E43" w:rsidRDefault="00E43E43">
      <w:pPr>
        <w:pStyle w:val="FootnoteText"/>
        <w:rPr>
          <w:lang w:val="en-GB"/>
        </w:rPr>
      </w:pPr>
      <w:r>
        <w:rPr>
          <w:rStyle w:val="FootnoteReference"/>
        </w:rPr>
        <w:footnoteRef/>
      </w:r>
      <w:r>
        <w:t xml:space="preserve"> </w:t>
      </w:r>
      <w:r w:rsidRPr="00E43E43">
        <w:t>Please note that the details of coursework requirements below only appl</w:t>
      </w:r>
      <w:r w:rsidR="0054228F">
        <w:t>y</w:t>
      </w:r>
      <w:r w:rsidRPr="00E43E43">
        <w:t xml:space="preserve"> to trainees beginning training in 2018 onwards</w:t>
      </w:r>
      <w:r w:rsidR="0070472F">
        <w:t>.</w:t>
      </w:r>
      <w:r w:rsidRPr="00E43E43">
        <w:t xml:space="preserve"> </w:t>
      </w:r>
      <w:r w:rsidR="0070472F">
        <w:t>In</w:t>
      </w:r>
      <w:r>
        <w:t xml:space="preserve"> earlier cohort</w:t>
      </w:r>
      <w:r w:rsidRPr="00E43E43">
        <w:t>s a different assessment scheme</w:t>
      </w:r>
      <w:r>
        <w:t xml:space="preserve"> was in place</w:t>
      </w:r>
      <w:r w:rsidRPr="00E43E43">
        <w:t xml:space="preserve"> for coursework.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24EDC"/>
    <w:multiLevelType w:val="multilevel"/>
    <w:tmpl w:val="1228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634F0"/>
    <w:multiLevelType w:val="hybridMultilevel"/>
    <w:tmpl w:val="FCA4BEC0"/>
    <w:lvl w:ilvl="0" w:tplc="FFFFFFF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34688B"/>
    <w:multiLevelType w:val="hybridMultilevel"/>
    <w:tmpl w:val="0809000F"/>
    <w:lvl w:ilvl="0" w:tplc="16B0D854">
      <w:start w:val="1"/>
      <w:numFmt w:val="decimal"/>
      <w:lvlText w:val="%1."/>
      <w:lvlJc w:val="left"/>
      <w:pPr>
        <w:ind w:left="720" w:hanging="360"/>
      </w:pPr>
      <w:rPr>
        <w:rFonts w:hint="default"/>
        <w:sz w:val="20"/>
      </w:rPr>
    </w:lvl>
    <w:lvl w:ilvl="1" w:tplc="AF9EC592">
      <w:start w:val="1"/>
      <w:numFmt w:val="lowerLetter"/>
      <w:lvlText w:val="%2."/>
      <w:lvlJc w:val="left"/>
      <w:pPr>
        <w:ind w:left="1440" w:hanging="360"/>
      </w:pPr>
    </w:lvl>
    <w:lvl w:ilvl="2" w:tplc="F31ADF6E" w:tentative="1">
      <w:start w:val="1"/>
      <w:numFmt w:val="lowerRoman"/>
      <w:lvlText w:val="%3."/>
      <w:lvlJc w:val="right"/>
      <w:pPr>
        <w:ind w:left="2160" w:hanging="180"/>
      </w:pPr>
      <w:rPr>
        <w:rFonts w:hint="default"/>
        <w:sz w:val="20"/>
      </w:rPr>
    </w:lvl>
    <w:lvl w:ilvl="3" w:tplc="020CC3D6" w:tentative="1">
      <w:start w:val="1"/>
      <w:numFmt w:val="decimal"/>
      <w:lvlText w:val="%4."/>
      <w:lvlJc w:val="left"/>
      <w:pPr>
        <w:ind w:left="2880" w:hanging="360"/>
      </w:pPr>
      <w:rPr>
        <w:rFonts w:hint="default"/>
        <w:sz w:val="20"/>
      </w:rPr>
    </w:lvl>
    <w:lvl w:ilvl="4" w:tplc="7DEA1A54" w:tentative="1">
      <w:start w:val="1"/>
      <w:numFmt w:val="lowerLetter"/>
      <w:lvlText w:val="%5."/>
      <w:lvlJc w:val="left"/>
      <w:pPr>
        <w:ind w:left="3600" w:hanging="360"/>
      </w:pPr>
      <w:rPr>
        <w:rFonts w:hint="default"/>
        <w:sz w:val="20"/>
      </w:rPr>
    </w:lvl>
    <w:lvl w:ilvl="5" w:tplc="657247DA" w:tentative="1">
      <w:start w:val="1"/>
      <w:numFmt w:val="lowerRoman"/>
      <w:lvlText w:val="%6."/>
      <w:lvlJc w:val="right"/>
      <w:pPr>
        <w:ind w:left="4320" w:hanging="180"/>
      </w:pPr>
      <w:rPr>
        <w:rFonts w:hint="default"/>
        <w:sz w:val="20"/>
      </w:rPr>
    </w:lvl>
    <w:lvl w:ilvl="6" w:tplc="E3A2518E" w:tentative="1">
      <w:start w:val="1"/>
      <w:numFmt w:val="decimal"/>
      <w:lvlText w:val="%7."/>
      <w:lvlJc w:val="left"/>
      <w:pPr>
        <w:ind w:left="5040" w:hanging="360"/>
      </w:pPr>
      <w:rPr>
        <w:rFonts w:hint="default"/>
        <w:sz w:val="20"/>
      </w:rPr>
    </w:lvl>
    <w:lvl w:ilvl="7" w:tplc="39E21A3E" w:tentative="1">
      <w:start w:val="1"/>
      <w:numFmt w:val="lowerLetter"/>
      <w:lvlText w:val="%8."/>
      <w:lvlJc w:val="left"/>
      <w:pPr>
        <w:ind w:left="5760" w:hanging="360"/>
      </w:pPr>
      <w:rPr>
        <w:rFonts w:hint="default"/>
        <w:sz w:val="20"/>
      </w:rPr>
    </w:lvl>
    <w:lvl w:ilvl="8" w:tplc="35C647B0" w:tentative="1">
      <w:start w:val="1"/>
      <w:numFmt w:val="lowerRoman"/>
      <w:lvlText w:val="%9."/>
      <w:lvlJc w:val="right"/>
      <w:pPr>
        <w:ind w:left="6480" w:hanging="180"/>
      </w:pPr>
      <w:rPr>
        <w:rFonts w:hint="default"/>
        <w:sz w:val="20"/>
      </w:rPr>
    </w:lvl>
  </w:abstractNum>
  <w:num w:numId="1" w16cid:durableId="887258856">
    <w:abstractNumId w:val="2"/>
  </w:num>
  <w:num w:numId="2" w16cid:durableId="994143021">
    <w:abstractNumId w:val="0"/>
  </w:num>
  <w:num w:numId="3" w16cid:durableId="70964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56"/>
    <w:rsid w:val="000B14E3"/>
    <w:rsid w:val="00175D1E"/>
    <w:rsid w:val="00231E2A"/>
    <w:rsid w:val="002405FD"/>
    <w:rsid w:val="002D0A56"/>
    <w:rsid w:val="00380837"/>
    <w:rsid w:val="004168CD"/>
    <w:rsid w:val="0045090A"/>
    <w:rsid w:val="004E5962"/>
    <w:rsid w:val="005117BB"/>
    <w:rsid w:val="0054228F"/>
    <w:rsid w:val="005835BC"/>
    <w:rsid w:val="005D0FFC"/>
    <w:rsid w:val="005D326B"/>
    <w:rsid w:val="00676BC3"/>
    <w:rsid w:val="006F4ECC"/>
    <w:rsid w:val="0070472F"/>
    <w:rsid w:val="007E1EE2"/>
    <w:rsid w:val="008A644C"/>
    <w:rsid w:val="008B21CE"/>
    <w:rsid w:val="008C20CB"/>
    <w:rsid w:val="008D3AF8"/>
    <w:rsid w:val="009D698E"/>
    <w:rsid w:val="00B21518"/>
    <w:rsid w:val="00D15BC6"/>
    <w:rsid w:val="00DE2C77"/>
    <w:rsid w:val="00E32099"/>
    <w:rsid w:val="00E4356C"/>
    <w:rsid w:val="00E43E43"/>
    <w:rsid w:val="00E6492D"/>
    <w:rsid w:val="00E74E7E"/>
    <w:rsid w:val="00E87965"/>
    <w:rsid w:val="00EA6956"/>
    <w:rsid w:val="00EE660E"/>
    <w:rsid w:val="00EF13D1"/>
    <w:rsid w:val="00F11763"/>
    <w:rsid w:val="00F20C79"/>
    <w:rsid w:val="00FD0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DBA3"/>
  <w15:chartTrackingRefBased/>
  <w15:docId w15:val="{7D852B76-334F-4BDF-9989-22F2CEFD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AF8"/>
    <w:rPr>
      <w:color w:val="0000FF"/>
      <w:u w:val="single"/>
    </w:rPr>
  </w:style>
  <w:style w:type="paragraph" w:styleId="Header">
    <w:name w:val="header"/>
    <w:basedOn w:val="Normal"/>
    <w:link w:val="HeaderChar"/>
    <w:uiPriority w:val="99"/>
    <w:unhideWhenUsed/>
    <w:rsid w:val="00511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7BB"/>
  </w:style>
  <w:style w:type="paragraph" w:styleId="Footer">
    <w:name w:val="footer"/>
    <w:basedOn w:val="Normal"/>
    <w:link w:val="FooterChar"/>
    <w:uiPriority w:val="99"/>
    <w:unhideWhenUsed/>
    <w:rsid w:val="00511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7BB"/>
  </w:style>
  <w:style w:type="paragraph" w:styleId="BalloonText">
    <w:name w:val="Balloon Text"/>
    <w:basedOn w:val="Normal"/>
    <w:link w:val="BalloonTextChar"/>
    <w:uiPriority w:val="99"/>
    <w:semiHidden/>
    <w:unhideWhenUsed/>
    <w:rsid w:val="00583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5BC"/>
    <w:rPr>
      <w:rFonts w:ascii="Segoe UI" w:hAnsi="Segoe UI" w:cs="Segoe UI"/>
      <w:sz w:val="18"/>
      <w:szCs w:val="18"/>
    </w:rPr>
  </w:style>
  <w:style w:type="character" w:styleId="FollowedHyperlink">
    <w:name w:val="FollowedHyperlink"/>
    <w:basedOn w:val="DefaultParagraphFont"/>
    <w:uiPriority w:val="99"/>
    <w:semiHidden/>
    <w:unhideWhenUsed/>
    <w:rsid w:val="005835BC"/>
    <w:rPr>
      <w:color w:val="954F72" w:themeColor="followedHyperlink"/>
      <w:u w:val="single"/>
    </w:rPr>
  </w:style>
  <w:style w:type="paragraph" w:styleId="ListParagraph">
    <w:name w:val="List Paragraph"/>
    <w:basedOn w:val="Normal"/>
    <w:uiPriority w:val="34"/>
    <w:qFormat/>
    <w:rsid w:val="00D15BC6"/>
    <w:pPr>
      <w:ind w:left="720"/>
      <w:contextualSpacing/>
    </w:pPr>
  </w:style>
  <w:style w:type="paragraph" w:styleId="FootnoteText">
    <w:name w:val="footnote text"/>
    <w:basedOn w:val="Normal"/>
    <w:link w:val="FootnoteTextChar"/>
    <w:uiPriority w:val="99"/>
    <w:semiHidden/>
    <w:unhideWhenUsed/>
    <w:rsid w:val="00E4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E43"/>
    <w:rPr>
      <w:sz w:val="20"/>
      <w:szCs w:val="20"/>
    </w:rPr>
  </w:style>
  <w:style w:type="character" w:styleId="FootnoteReference">
    <w:name w:val="footnote reference"/>
    <w:basedOn w:val="DefaultParagraphFont"/>
    <w:uiPriority w:val="99"/>
    <w:semiHidden/>
    <w:unhideWhenUsed/>
    <w:rsid w:val="00E43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pc-uk.org/globalassets/resources/guidance/guidance-on-conduct-and-ethics-for-student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ncaster.ac.uk/shm/study/doctoral_study/dclinpsy/onlinehandbook/fitness_to_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Heard</dc:creator>
  <cp:keywords/>
  <dc:description/>
  <cp:lastModifiedBy>Smith, Ian</cp:lastModifiedBy>
  <cp:revision>6</cp:revision>
  <dcterms:created xsi:type="dcterms:W3CDTF">2023-08-21T10:15:00Z</dcterms:created>
  <dcterms:modified xsi:type="dcterms:W3CDTF">2023-08-21T10:29:00Z</dcterms:modified>
</cp:coreProperties>
</file>